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AE18" w14:textId="77777777" w:rsidR="002D66FC" w:rsidRDefault="00570CC6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b/>
          <w:bCs/>
          <w:i/>
          <w:iCs/>
        </w:rPr>
        <w:t>Załącznik nr 11.2</w:t>
      </w:r>
    </w:p>
    <w:p w14:paraId="0942AE19" w14:textId="77777777" w:rsidR="002D66FC" w:rsidRDefault="00570CC6">
      <w:pPr>
        <w:pStyle w:val="Standard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bCs/>
        </w:rPr>
        <w:t xml:space="preserve">Zadanie nr 2 – </w:t>
      </w:r>
      <w:r>
        <w:rPr>
          <w:b/>
          <w:bCs/>
          <w:color w:val="000000"/>
        </w:rPr>
        <w:t>System Robotycznej Chirurgii Urologicznej</w:t>
      </w:r>
    </w:p>
    <w:p w14:paraId="0942AE1A" w14:textId="77777777" w:rsidR="002D66FC" w:rsidRDefault="00570CC6">
      <w:pPr>
        <w:pStyle w:val="Standard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bCs/>
        </w:rPr>
        <w:t>„Zakup i dostawa wyposażenia medycznego na potrzeby: Oddziału Urologii Ogólnej i Onkologicznej, bloku operacyjnego oraz jednostek współpracujących”</w:t>
      </w:r>
    </w:p>
    <w:p w14:paraId="0942AE1B" w14:textId="77777777" w:rsidR="002D66FC" w:rsidRDefault="00570CC6">
      <w:pPr>
        <w:pStyle w:val="Standard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OPIS PRZEDMIOTU ZAMÓWIENIA</w:t>
      </w:r>
    </w:p>
    <w:p w14:paraId="0942AE1C" w14:textId="77777777" w:rsidR="002D66FC" w:rsidRDefault="00570CC6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</w:rPr>
        <w:t>do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0942AE1D" w14:textId="77777777" w:rsidR="002D66FC" w:rsidRDefault="00570CC6">
      <w:pPr>
        <w:pStyle w:val="Standard"/>
        <w:spacing w:before="24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0942AE1E" w14:textId="77777777" w:rsidR="002D66FC" w:rsidRDefault="00570CC6">
      <w:pPr>
        <w:pStyle w:val="Standard"/>
        <w:spacing w:before="240" w:line="240" w:lineRule="auto"/>
        <w:jc w:val="both"/>
      </w:pPr>
      <w:r>
        <w:rPr>
          <w:rFonts w:ascii="Times New Roman" w:eastAsia="Times New Roman" w:hAnsi="Times New Roman" w:cs="Times New Roman"/>
          <w:b/>
          <w:bCs/>
        </w:rPr>
        <w:t>W ramach zadania nr. 2 Zamawiający wymaga dostawy oferowanych rozwiązań wraz instalacją i uruchomieniem oraz niezbędną adaptacją pomieszczeń.</w:t>
      </w:r>
    </w:p>
    <w:p w14:paraId="0942AE1F" w14:textId="77777777" w:rsidR="002D66FC" w:rsidRDefault="00570CC6">
      <w:pPr>
        <w:pStyle w:val="Standard"/>
        <w:widowControl/>
        <w:numPr>
          <w:ilvl w:val="0"/>
          <w:numId w:val="26"/>
        </w:numPr>
        <w:spacing w:after="0" w:line="240" w:lineRule="auto"/>
      </w:pPr>
      <w:bookmarkStart w:id="0" w:name="_Hlk221650072"/>
      <w:r>
        <w:rPr>
          <w:b/>
          <w:bCs/>
          <w:color w:val="000000"/>
        </w:rPr>
        <w:t>System Robotycznej Chirurgii Urologicznej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- 1 kpl. </w:t>
      </w:r>
      <w:r>
        <w:rPr>
          <w:rFonts w:ascii="Times New Roman" w:eastAsia="Times New Roman" w:hAnsi="Times New Roman" w:cs="Times New Roman"/>
          <w:color w:val="000000"/>
        </w:rPr>
        <w:t>wraz z niezbędnymi pracami instalacyjnymi koniecznymi do podłączenie do infrastruktury Szpitala.</w:t>
      </w:r>
    </w:p>
    <w:p w14:paraId="0942AE20" w14:textId="77777777" w:rsidR="002D66FC" w:rsidRDefault="00570CC6">
      <w:pPr>
        <w:pStyle w:val="Standard"/>
        <w:widowControl/>
        <w:numPr>
          <w:ilvl w:val="0"/>
          <w:numId w:val="23"/>
        </w:numPr>
        <w:spacing w:after="0" w:line="240" w:lineRule="auto"/>
      </w:pPr>
      <w:bookmarkStart w:id="1" w:name="_Hlk221650129"/>
      <w:r>
        <w:rPr>
          <w:rFonts w:ascii="Times New Roman" w:eastAsia="Times New Roman" w:hAnsi="Times New Roman" w:cs="Times New Roman"/>
          <w:b/>
          <w:bCs/>
          <w:color w:val="000000"/>
        </w:rPr>
        <w:t>Uniwersalny stół operacyjny do chirurgii precyzyjnej  z wyposażeniem</w:t>
      </w:r>
      <w:bookmarkEnd w:id="1"/>
      <w:r>
        <w:rPr>
          <w:rFonts w:ascii="Times New Roman" w:eastAsia="Times New Roman" w:hAnsi="Times New Roman" w:cs="Times New Roman"/>
          <w:b/>
          <w:bCs/>
          <w:color w:val="000000"/>
        </w:rPr>
        <w:t>. - 1 kpl</w:t>
      </w:r>
    </w:p>
    <w:p w14:paraId="0942AE21" w14:textId="77777777" w:rsidR="002D66FC" w:rsidRDefault="002D66FC">
      <w:pPr>
        <w:pStyle w:val="Standard"/>
        <w:widowControl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942AE22" w14:textId="77777777" w:rsidR="002D66FC" w:rsidRDefault="00570CC6">
      <w:pPr>
        <w:pStyle w:val="Standard"/>
        <w:widowControl/>
        <w:numPr>
          <w:ilvl w:val="0"/>
          <w:numId w:val="27"/>
        </w:numPr>
        <w:spacing w:after="240" w:line="240" w:lineRule="auto"/>
      </w:pPr>
      <w:r>
        <w:rPr>
          <w:b/>
          <w:bCs/>
          <w:color w:val="000000"/>
          <w:sz w:val="24"/>
          <w:szCs w:val="24"/>
        </w:rPr>
        <w:t>System Robotycznej Chirurgii Urologicznej - .</w:t>
      </w:r>
    </w:p>
    <w:tbl>
      <w:tblPr>
        <w:tblW w:w="103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2536"/>
        <w:gridCol w:w="7233"/>
      </w:tblGrid>
      <w:tr w:rsidR="002D66FC" w14:paraId="0942AE26" w14:textId="77777777">
        <w:trPr>
          <w:trHeight w:val="3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3" w14:textId="77777777" w:rsidR="002D66FC" w:rsidRDefault="00570CC6">
            <w:pPr>
              <w:pStyle w:val="Standard"/>
              <w:spacing w:line="240" w:lineRule="auto"/>
              <w:jc w:val="both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4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Dane podstawowe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5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Wpisać</w:t>
            </w:r>
          </w:p>
        </w:tc>
      </w:tr>
      <w:tr w:rsidR="002D66FC" w14:paraId="0942AE2A" w14:textId="77777777">
        <w:trPr>
          <w:trHeight w:val="3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7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8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9" w14:textId="77777777" w:rsidR="002D66FC" w:rsidRDefault="002D66FC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2D66FC" w14:paraId="0942AE2E" w14:textId="77777777">
        <w:trPr>
          <w:trHeight w:val="44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B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C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D" w14:textId="77777777" w:rsidR="002D66FC" w:rsidRDefault="002D66FC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2D66FC" w14:paraId="0942AE32" w14:textId="77777777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2F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30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AE31" w14:textId="77777777" w:rsidR="002D66FC" w:rsidRDefault="002D66FC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942AE33" w14:textId="77777777" w:rsidR="002D66FC" w:rsidRDefault="002D66FC">
      <w:pPr>
        <w:pStyle w:val="Standard"/>
        <w:widowControl/>
        <w:spacing w:after="24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W w:w="10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"/>
        <w:gridCol w:w="4509"/>
        <w:gridCol w:w="1760"/>
        <w:gridCol w:w="1832"/>
        <w:gridCol w:w="1551"/>
      </w:tblGrid>
      <w:tr w:rsidR="002D66FC" w14:paraId="0942AE3C" w14:textId="77777777">
        <w:trPr>
          <w:cantSplit/>
          <w:trHeight w:val="14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AE34" w14:textId="77777777" w:rsidR="002D66FC" w:rsidRDefault="002D66FC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942AE35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AE36" w14:textId="1FF8B250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Opis parametrów</w:t>
            </w:r>
            <w:r w:rsidR="00F3427B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minimalnych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AE37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Wymagane wartości graniczne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AE38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Punktacja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39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Parametry, wartości ,  dane techniczne</w:t>
            </w:r>
          </w:p>
          <w:p w14:paraId="0942AE3A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(wypełnia Wykonawca</w:t>
            </w:r>
          </w:p>
          <w:p w14:paraId="0942AE3B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2D66FC" w14:paraId="0942AE3F" w14:textId="77777777">
        <w:trPr>
          <w:cantSplit/>
          <w:trHeight w:val="288"/>
        </w:trPr>
        <w:tc>
          <w:tcPr>
            <w:tcW w:w="8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3D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3E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66FC" w14:paraId="0942AE49" w14:textId="77777777">
        <w:trPr>
          <w:cantSplit/>
          <w:trHeight w:val="1331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40" w14:textId="77777777" w:rsidR="002D66FC" w:rsidRDefault="002D66FC">
            <w:pPr>
              <w:pStyle w:val="Standard"/>
              <w:numPr>
                <w:ilvl w:val="0"/>
                <w:numId w:val="28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41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Zakres zastosowań robota chirurgicznego to minimum:</w:t>
            </w:r>
          </w:p>
          <w:p w14:paraId="0942AE42" w14:textId="77777777" w:rsidR="002D66FC" w:rsidRDefault="00570CC6">
            <w:pPr>
              <w:pStyle w:val="Standard"/>
              <w:numPr>
                <w:ilvl w:val="0"/>
                <w:numId w:val="29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urologia</w:t>
            </w:r>
          </w:p>
          <w:p w14:paraId="0942AE43" w14:textId="77777777" w:rsidR="002D66FC" w:rsidRDefault="00570CC6">
            <w:pPr>
              <w:pStyle w:val="Standard"/>
              <w:numPr>
                <w:ilvl w:val="0"/>
                <w:numId w:val="1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ginekologia</w:t>
            </w:r>
          </w:p>
          <w:p w14:paraId="0942AE44" w14:textId="77777777" w:rsidR="002D66FC" w:rsidRDefault="00570CC6">
            <w:pPr>
              <w:pStyle w:val="Standard"/>
              <w:numPr>
                <w:ilvl w:val="0"/>
                <w:numId w:val="1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chirurgia ogólna i kolorektalna</w:t>
            </w:r>
          </w:p>
          <w:p w14:paraId="0942AE45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Należy opisać i wskazać certyfikację/walidację w dokumentach producenta.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46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47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48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53" w14:textId="77777777">
        <w:trPr>
          <w:cantSplit/>
          <w:trHeight w:val="1686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4A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4B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Zestaw robota chirurgicznego składający się z następujących elementów:</w:t>
            </w:r>
          </w:p>
          <w:p w14:paraId="0942AE4C" w14:textId="77777777" w:rsidR="002D66FC" w:rsidRDefault="00570CC6">
            <w:pPr>
              <w:pStyle w:val="Standard"/>
              <w:numPr>
                <w:ilvl w:val="0"/>
                <w:numId w:val="30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konsola chirurgiczna – 1szt.,</w:t>
            </w:r>
          </w:p>
          <w:p w14:paraId="0942AE4D" w14:textId="77777777" w:rsidR="002D66FC" w:rsidRDefault="00570CC6">
            <w:pPr>
              <w:pStyle w:val="Standard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robot wyposażony w cztery ramiona umieszczone na jednym wózku lub każde z ramion umieszczone na osobnym wózku – 1 kpl.,</w:t>
            </w:r>
          </w:p>
          <w:p w14:paraId="0942AE4E" w14:textId="77777777" w:rsidR="002D66FC" w:rsidRDefault="00570CC6">
            <w:pPr>
              <w:pStyle w:val="Standard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system wizyjny z zintegrowanym na poziomie oprogramowania  robota chirurgicznego- generatorem– 1 szt.,</w:t>
            </w:r>
          </w:p>
          <w:p w14:paraId="0942AE4F" w14:textId="77777777" w:rsidR="002D66FC" w:rsidRDefault="00570CC6">
            <w:pPr>
              <w:pStyle w:val="Standard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wyposażenie zestawu robota chirurgicznego.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0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5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59" w14:textId="77777777">
        <w:trPr>
          <w:cantSplit/>
          <w:trHeight w:val="409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4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5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Zestaw robota chirurgicznego - rok produkcji nie wcześniej niż 2025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6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7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58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5F" w14:textId="77777777">
        <w:trPr>
          <w:cantSplit/>
          <w:trHeight w:val="561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A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B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Konsola chirurgiczna – 1 szt.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C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5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5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65" w14:textId="77777777">
        <w:trPr>
          <w:cantSplit/>
          <w:trHeight w:val="564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0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1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Konsola chirurgiczna mobilna na podstawie jezdnej, z blokadą.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2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6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6B" w14:textId="77777777">
        <w:trPr>
          <w:cantSplit/>
          <w:trHeight w:val="1116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6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7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Transmisja ruchów rąk operatora do ramion robotycznych z filtracją tremoru rąk operatora, z możliwością skalowania ruchu narzędzi oraz funkcją redukcji drgań w celu zminimalizowania naturalnego drżenia rąk i przypadkowych ruchów ręki operatora. Ilość trybów skalowania, co najmniej 3.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8" w14:textId="77777777" w:rsidR="002D66FC" w:rsidRDefault="00570CC6">
            <w:pPr>
              <w:pStyle w:val="Standard"/>
              <w:spacing w:after="28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6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75" w14:textId="77777777">
        <w:trPr>
          <w:cantSplit/>
          <w:trHeight w:val="412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C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6D" w14:textId="77777777" w:rsidR="002D66FC" w:rsidRDefault="00570CC6">
            <w:pPr>
              <w:pStyle w:val="Standard"/>
              <w:spacing w:after="0" w:line="240" w:lineRule="auto"/>
              <w:jc w:val="both"/>
            </w:pPr>
            <w:bookmarkStart w:id="2" w:name="_jtdxp6mhwnl7"/>
            <w:bookmarkEnd w:id="2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sterowania kamerą endoskopową 3D w każdym z ramion robotycznych „on any arm” robota chirurgicznego wyposażonego w cztery ramiona umieszczone na jednym wózku, z wykorzystaniem zadokowanych do pacjenta kaniul, wszystkie zadokowane 4 kaniule tej samej średnicy bez użycia redukcji średnicy kaniul</w:t>
            </w:r>
          </w:p>
          <w:p w14:paraId="0942AE6E" w14:textId="77777777" w:rsidR="002D66FC" w:rsidRDefault="002D66F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E6F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Lub</w:t>
            </w:r>
          </w:p>
          <w:p w14:paraId="0942AE70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dla robota o konstrukcji ramion umieszczonych na osobnych wózkach :</w:t>
            </w:r>
          </w:p>
          <w:p w14:paraId="0942AE71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dowolnego repozycjonowania kolumny z kamerą - w trakcie trwania zabiegu operacyjnego, bez konieczności zmiany położenia kaniuli endoskopowej w ciele pacjenta lub dołożenia kolejnej kaniuli endoskopowej w innym polu operacyjnym pacjenta i zmiany ułożenia, przesunięcia pozostałych kolumn z ramionami robotycznymi wokół stołu pacjenta.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72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7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7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83" w14:textId="77777777">
        <w:trPr>
          <w:cantSplit/>
          <w:trHeight w:val="41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76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77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Umożliwia sterowanie funkcjonalnościami co najmniej w zakresie:</w:t>
            </w:r>
          </w:p>
          <w:p w14:paraId="0942AE78" w14:textId="77777777" w:rsidR="002D66FC" w:rsidRDefault="00570CC6">
            <w:pPr>
              <w:pStyle w:val="Standard"/>
              <w:numPr>
                <w:ilvl w:val="0"/>
                <w:numId w:val="3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wysprzęglania, włączania i wyłączania znacznika ICG za pomocą manetek sterujących-  zintegrowana na poziomie oprogramowania  robota chirurgicznego,</w:t>
            </w:r>
          </w:p>
          <w:p w14:paraId="0942AE79" w14:textId="77777777" w:rsidR="002D66FC" w:rsidRDefault="00570CC6">
            <w:pPr>
              <w:pStyle w:val="Standard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włączania i wyłączania sygnału pochodzącego ze źródeł zewnętrznych  i wyświetlanych na konsoli chirurgicznej – uruchamianie za pomocą manetek sterujących i / lub przełączników nożnych,  </w:t>
            </w:r>
          </w:p>
          <w:p w14:paraId="0942AE7A" w14:textId="77777777" w:rsidR="002D66FC" w:rsidRDefault="00570CC6">
            <w:pPr>
              <w:pStyle w:val="Standard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haptycznej zmiany powiększenia cyfrowego obrazu za pomocą manetek sterujących i / lub przełączników nożnych,</w:t>
            </w:r>
          </w:p>
          <w:p w14:paraId="0942AE7B" w14:textId="77777777" w:rsidR="002D66FC" w:rsidRDefault="00570CC6">
            <w:pPr>
              <w:pStyle w:val="Standard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możliwości wykonania pełnego obrotu nadgarstkowego we wskazanym kierunku prawo lub lewo do osiągnięcia pełnego zakresu obrotu kątowego w osi wzdłużnej narzędzia – za pomocą jednego płynnego ruchu dłoni operatora bez konieczności używania dodatkowych przycisków lub sprzęgła,</w:t>
            </w:r>
          </w:p>
          <w:p w14:paraId="0942AE7C" w14:textId="77777777" w:rsidR="002D66FC" w:rsidRDefault="00570CC6">
            <w:pPr>
              <w:pStyle w:val="Standard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sterowania ustawieniami systemu elektrochirurgii z poziomu konsoli chirurgicznej (co najmniej w zakresie: mocy, trybu i/lub efektu) z możliwością wywołania presetów systemu elektrochirurgii z poziomu konsoli chirurgicznej,</w:t>
            </w:r>
          </w:p>
          <w:p w14:paraId="0942AE7D" w14:textId="77777777" w:rsidR="002D66FC" w:rsidRDefault="00570CC6">
            <w:pPr>
              <w:pStyle w:val="Standard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sterowania ustawieniami elektrochirurgii przez oprogramowanie  robota chirurgicznego,</w:t>
            </w:r>
          </w:p>
          <w:p w14:paraId="0942AE7E" w14:textId="77777777" w:rsidR="002D66FC" w:rsidRDefault="00570CC6">
            <w:pPr>
              <w:pStyle w:val="Standard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automatyczne przełączenie przez operatora konsoli chirurgicznej- kąta prezentacji obrazu z endoskopu 30 stopni w dół i 30 stopni w górę.</w:t>
            </w:r>
          </w:p>
          <w:p w14:paraId="0942AE7F" w14:textId="77777777" w:rsidR="002D66FC" w:rsidRDefault="00570CC6">
            <w:pPr>
              <w:pStyle w:val="Standard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Możliwość zapamiętania przez konsolę chirurgiczną i wywołania z poziomu konsoli chirurgicznej co najmniej 3 typów ustawień (presetów) dla narzędzi elektrochirurgicznych.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80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8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8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8E" w14:textId="77777777">
        <w:trPr>
          <w:cantSplit/>
          <w:trHeight w:val="55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84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85" w14:textId="77777777" w:rsidR="002D66FC" w:rsidRDefault="00570CC6">
            <w:pPr>
              <w:pStyle w:val="Standard"/>
              <w:spacing w:before="120" w:after="0" w:line="36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Wykaz istotnych elementów składowych konsoli:</w:t>
            </w:r>
          </w:p>
          <w:p w14:paraId="0942AE86" w14:textId="77777777" w:rsidR="002D66FC" w:rsidRDefault="00570CC6">
            <w:pPr>
              <w:pStyle w:val="Standard"/>
              <w:numPr>
                <w:ilvl w:val="0"/>
                <w:numId w:val="32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manetki sterujące (lewa i prawa),</w:t>
            </w:r>
          </w:p>
          <w:p w14:paraId="0942AE87" w14:textId="77777777" w:rsidR="002D66FC" w:rsidRDefault="00570CC6">
            <w:pPr>
              <w:pStyle w:val="Standard"/>
              <w:numPr>
                <w:ilvl w:val="0"/>
                <w:numId w:val="1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pulpit sterujący (lewy i prawy),</w:t>
            </w:r>
          </w:p>
          <w:p w14:paraId="0942AE88" w14:textId="77777777" w:rsidR="002D66FC" w:rsidRDefault="00570CC6">
            <w:pPr>
              <w:pStyle w:val="Standard"/>
              <w:numPr>
                <w:ilvl w:val="0"/>
                <w:numId w:val="1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przeglądarka stereoskopowa lub technologia wykorzystująca monitor i okulary 3D,</w:t>
            </w:r>
          </w:p>
          <w:p w14:paraId="0942AE89" w14:textId="77777777" w:rsidR="002D66FC" w:rsidRDefault="00570CC6">
            <w:pPr>
              <w:pStyle w:val="Standard"/>
              <w:numPr>
                <w:ilvl w:val="0"/>
                <w:numId w:val="1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ekran dotykowy lub zestaw przycisków ręcznych do obsługi konsoli chirurgicznej i zarządzania wizualizacją,</w:t>
            </w:r>
          </w:p>
          <w:p w14:paraId="0942AE8A" w14:textId="77777777" w:rsidR="002D66FC" w:rsidRDefault="00570CC6">
            <w:pPr>
              <w:pStyle w:val="Standard"/>
              <w:numPr>
                <w:ilvl w:val="0"/>
                <w:numId w:val="1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panel przełączników nożnych lub zestaw przełączników ręcznych do uruchomiania elektrokoagulacji mono i bipolarnej, zarządzania endoskopem i wysprzęglania.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8B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8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8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96" w14:textId="77777777">
        <w:trPr>
          <w:cantSplit/>
          <w:trHeight w:val="1043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8F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90" w14:textId="77777777" w:rsidR="002D66FC" w:rsidRDefault="00570CC6">
            <w:pPr>
              <w:pStyle w:val="Standard"/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Dostęp z konsoli chirurgicznej do :</w:t>
            </w:r>
          </w:p>
          <w:p w14:paraId="0942AE91" w14:textId="77777777" w:rsidR="002D66FC" w:rsidRDefault="00570CC6">
            <w:pPr>
              <w:pStyle w:val="Standard"/>
              <w:numPr>
                <w:ilvl w:val="0"/>
                <w:numId w:val="33"/>
              </w:numPr>
              <w:spacing w:after="0" w:line="240" w:lineRule="auto"/>
              <w:ind w:left="459" w:hanging="357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wyłącznika awaryjnego,</w:t>
            </w:r>
          </w:p>
          <w:p w14:paraId="0942AE92" w14:textId="77777777" w:rsidR="002D66FC" w:rsidRDefault="00570CC6">
            <w:pPr>
              <w:pStyle w:val="Standard"/>
              <w:numPr>
                <w:ilvl w:val="0"/>
                <w:numId w:val="17"/>
              </w:numPr>
              <w:spacing w:after="0" w:line="240" w:lineRule="auto"/>
              <w:ind w:left="459" w:hanging="357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regulacji parametrów ergonomicznych konsoli chirurgicznej, zapewniających operatorom o różnej budowie ciała komfort pracy podczas zabiegów.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93" w14:textId="77777777" w:rsidR="002D66FC" w:rsidRDefault="00570CC6">
            <w:pPr>
              <w:pStyle w:val="Standard"/>
              <w:spacing w:before="12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9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9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A1" w14:textId="77777777">
        <w:trPr>
          <w:cantSplit/>
          <w:trHeight w:val="41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97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98" w14:textId="77777777" w:rsidR="002D66FC" w:rsidRDefault="00570CC6">
            <w:pPr>
              <w:pStyle w:val="Standard"/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Panel przełączników ręcznych lub nożnych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umożliwiający co najmniej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0942AE99" w14:textId="77777777" w:rsidR="002D66FC" w:rsidRDefault="00570CC6">
            <w:pPr>
              <w:pStyle w:val="Standard"/>
              <w:numPr>
                <w:ilvl w:val="0"/>
                <w:numId w:val="34"/>
              </w:numPr>
              <w:spacing w:after="0" w:line="240" w:lineRule="auto"/>
              <w:ind w:left="323" w:hanging="323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sterowanie kamerą,</w:t>
            </w:r>
          </w:p>
          <w:p w14:paraId="0942AE9A" w14:textId="77777777" w:rsidR="002D66FC" w:rsidRDefault="00570CC6">
            <w:pPr>
              <w:pStyle w:val="Standard"/>
              <w:numPr>
                <w:ilvl w:val="0"/>
                <w:numId w:val="18"/>
              </w:numPr>
              <w:spacing w:after="0" w:line="240" w:lineRule="auto"/>
              <w:ind w:left="323" w:hanging="323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przełączanie ramion robotycznych,</w:t>
            </w:r>
          </w:p>
          <w:p w14:paraId="0942AE9B" w14:textId="77777777" w:rsidR="002D66FC" w:rsidRDefault="00570CC6">
            <w:pPr>
              <w:pStyle w:val="Standard"/>
              <w:numPr>
                <w:ilvl w:val="0"/>
                <w:numId w:val="18"/>
              </w:numPr>
              <w:spacing w:after="0" w:line="240" w:lineRule="auto"/>
              <w:ind w:left="323" w:hanging="323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włączanie i wyłączanie głównych sterowników ramion i narzędzi chirurgicznych (sprzęgło),</w:t>
            </w:r>
          </w:p>
          <w:p w14:paraId="0942AE9C" w14:textId="77777777" w:rsidR="002D66FC" w:rsidRDefault="00570CC6">
            <w:pPr>
              <w:pStyle w:val="Standard"/>
              <w:numPr>
                <w:ilvl w:val="0"/>
                <w:numId w:val="18"/>
              </w:numPr>
              <w:spacing w:after="0" w:line="240" w:lineRule="auto"/>
              <w:ind w:left="323" w:hanging="323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sterowanie urządzeniami elektrochirurgicznymi  (aktywacja koagulacji mono i bipolarnej).</w:t>
            </w:r>
          </w:p>
          <w:p w14:paraId="0942AE9D" w14:textId="77777777" w:rsidR="002D66FC" w:rsidRDefault="00570CC6">
            <w:pPr>
              <w:pStyle w:val="Standard"/>
              <w:numPr>
                <w:ilvl w:val="0"/>
                <w:numId w:val="18"/>
              </w:numPr>
              <w:spacing w:after="0" w:line="240" w:lineRule="auto"/>
              <w:ind w:left="323" w:hanging="323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włączania wizualizacji znacznika ICG z poziomu manetek sterujących konsoli chirurgicznej.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9E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9F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A0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B1" w14:textId="77777777">
        <w:trPr>
          <w:cantSplit/>
          <w:trHeight w:val="41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A2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A3" w14:textId="77777777" w:rsidR="002D66FC" w:rsidRDefault="00570CC6">
            <w:pPr>
              <w:pStyle w:val="Standard"/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Wizualizacja obrazu w konsoli chirurgicznej:</w:t>
            </w:r>
          </w:p>
          <w:p w14:paraId="0942AEA4" w14:textId="77777777" w:rsidR="002D66FC" w:rsidRDefault="00570CC6">
            <w:pPr>
              <w:pStyle w:val="Standard"/>
              <w:numPr>
                <w:ilvl w:val="0"/>
                <w:numId w:val="35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obraz pola operacyjnego z możliwością wyświetlania 2D HD lub 3D HD,</w:t>
            </w:r>
          </w:p>
          <w:p w14:paraId="0942AEA5" w14:textId="77777777" w:rsidR="002D66FC" w:rsidRDefault="00570CC6">
            <w:pPr>
              <w:pStyle w:val="Standard"/>
              <w:numPr>
                <w:ilvl w:val="0"/>
                <w:numId w:val="19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 wyświetlonymi komunikatami oraz ikonami w polu widzenia operatora dotyczącymi informacji o stanie systemu.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A6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A7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Przeglądarka stereoskopowa:</w:t>
            </w:r>
          </w:p>
          <w:p w14:paraId="0942AEA8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a). dostarczająca dwa niezależne obrazy do prawego i lewego oka operatora – tworzące obraz stereoskopowy (3D HD) pola operacyjnego z możliwością wyświetlania obrazu 2D HD</w:t>
            </w:r>
          </w:p>
          <w:p w14:paraId="0942AEA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EAA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EAB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EAC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b). tworząca obraz stereoskopowy 3D HD wraz z maksymalnie dwoma obrazami pomocniczymi (ze źródeł zewnętrznych np.: USG)</w:t>
            </w:r>
          </w:p>
          <w:p w14:paraId="0942AEAD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EAE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EAF" w14:textId="77777777" w:rsidR="002D66FC" w:rsidRDefault="00570CC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B0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B7" w14:textId="77777777">
        <w:trPr>
          <w:cantSplit/>
          <w:trHeight w:val="324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B2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B3" w14:textId="77777777" w:rsidR="002D66FC" w:rsidRDefault="00570CC6">
            <w:pPr>
              <w:pStyle w:val="Standard"/>
              <w:spacing w:after="0" w:line="240" w:lineRule="auto"/>
              <w:jc w:val="both"/>
            </w:pPr>
            <w:bookmarkStart w:id="3" w:name="_wwn37i5c6wir"/>
            <w:bookmarkEnd w:id="3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Funkcja umożliwiająca operatorowi przeniesienie wzroku z pola operacyjnego przeglądarki stereoskopowej w przestrzeń sali operacyjnej, bez konieczności wyzwalania rąk z manetek sterujących, z zachowaniem stałej, niezmiennej pozycji narzędzi wewnątrz ciała pacjenta w celu uniknięcia niezamierzonych niekontrolowanych ruchów narzędzi w ciele pacjenta. Funkcjonalność zapewniona przez algorytm software polegający na zablokowaniu (zamrożeniu) narzędzi w polu.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B4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B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B6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D0" w14:textId="77777777">
        <w:trPr>
          <w:cantSplit/>
          <w:trHeight w:val="56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B8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B9" w14:textId="77777777" w:rsidR="002D66FC" w:rsidRDefault="00570CC6">
            <w:pPr>
              <w:pStyle w:val="Standard"/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Funkcje sterowane przez operatora konsoli co najmniej w zakresie:</w:t>
            </w:r>
          </w:p>
          <w:p w14:paraId="0942AEBA" w14:textId="77777777" w:rsidR="002D66FC" w:rsidRDefault="00570CC6">
            <w:pPr>
              <w:pStyle w:val="Standard"/>
              <w:numPr>
                <w:ilvl w:val="0"/>
                <w:numId w:val="36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wyświetlenia informacji o narzędziach  i endoskopie,</w:t>
            </w:r>
          </w:p>
          <w:p w14:paraId="0942AEBB" w14:textId="77777777" w:rsidR="002D66FC" w:rsidRDefault="00570CC6">
            <w:pPr>
              <w:pStyle w:val="Standard"/>
              <w:numPr>
                <w:ilvl w:val="0"/>
                <w:numId w:val="20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przypisania określonej konfiguracji narzędzi do rąk,</w:t>
            </w:r>
          </w:p>
          <w:p w14:paraId="0942AEBC" w14:textId="77777777" w:rsidR="002D66FC" w:rsidRDefault="00570CC6">
            <w:pPr>
              <w:pStyle w:val="Standard"/>
              <w:numPr>
                <w:ilvl w:val="0"/>
                <w:numId w:val="20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sterowania ustawieniami manetek: wysprzęglenia manetek, skalowania ruchu, przypisania manetek do wskazanej ręki operatora,</w:t>
            </w:r>
          </w:p>
          <w:p w14:paraId="0942AEBD" w14:textId="77777777" w:rsidR="002D66FC" w:rsidRDefault="00570CC6">
            <w:pPr>
              <w:pStyle w:val="Standard"/>
              <w:numPr>
                <w:ilvl w:val="0"/>
                <w:numId w:val="20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pozycjonowanie endoskopu i sterowania  jego  funkcjami,</w:t>
            </w:r>
          </w:p>
          <w:p w14:paraId="0942AEBE" w14:textId="77777777" w:rsidR="002D66FC" w:rsidRDefault="00570CC6">
            <w:pPr>
              <w:pStyle w:val="Standard"/>
              <w:numPr>
                <w:ilvl w:val="0"/>
                <w:numId w:val="20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sterowania ustawieniami obrazu oraz zapisu,</w:t>
            </w:r>
          </w:p>
          <w:p w14:paraId="0942AEBF" w14:textId="77777777" w:rsidR="002D66FC" w:rsidRDefault="00570CC6">
            <w:pPr>
              <w:pStyle w:val="Standard"/>
              <w:numPr>
                <w:ilvl w:val="0"/>
                <w:numId w:val="20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sterowania funkcjonalnościami: skalowania ruchu, cyfrowego powiększenia obrazu, sterowaniem odległości roboczej i sposobu wyświetlania obrazu na konsoli chirurgicznej - 2D HD/3D HD).</w:t>
            </w:r>
          </w:p>
          <w:p w14:paraId="0942AEC0" w14:textId="77777777" w:rsidR="002D66FC" w:rsidRDefault="00570CC6">
            <w:pPr>
              <w:pStyle w:val="Standard"/>
              <w:numPr>
                <w:ilvl w:val="0"/>
                <w:numId w:val="20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sterowania funkcjonalnościami sygnałów zewnętrznych (np.: USG)</w:t>
            </w:r>
          </w:p>
          <w:p w14:paraId="0942AEC1" w14:textId="77777777" w:rsidR="002D66FC" w:rsidRDefault="00570CC6">
            <w:pPr>
              <w:pStyle w:val="Standard"/>
              <w:numPr>
                <w:ilvl w:val="0"/>
                <w:numId w:val="20"/>
              </w:numPr>
              <w:shd w:val="clear" w:color="auto" w:fill="FFFFFF"/>
              <w:tabs>
                <w:tab w:val="left" w:pos="991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sterowania danymi konta użytkownika  konsoli chirurgicznej.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C2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C3" w14:textId="77777777" w:rsidR="002D66FC" w:rsidRDefault="00570CC6">
            <w:pPr>
              <w:pStyle w:val="Standard"/>
              <w:numPr>
                <w:ilvl w:val="0"/>
                <w:numId w:val="37"/>
              </w:numPr>
              <w:spacing w:after="0" w:line="240" w:lineRule="auto"/>
              <w:ind w:left="169" w:hanging="1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przypisania określonej konfiguracji narzędzi do rąk i nóg operatora (elektrokoagulacji)</w:t>
            </w:r>
          </w:p>
          <w:p w14:paraId="0942AEC4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EC5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EC6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EC7" w14:textId="77777777" w:rsidR="002D66FC" w:rsidRDefault="00570CC6">
            <w:pPr>
              <w:pStyle w:val="Standard"/>
              <w:numPr>
                <w:ilvl w:val="0"/>
                <w:numId w:val="21"/>
              </w:numPr>
              <w:shd w:val="clear" w:color="auto" w:fill="FFFFFF"/>
              <w:tabs>
                <w:tab w:val="left" w:pos="271"/>
              </w:tabs>
              <w:spacing w:after="0" w:line="240" w:lineRule="auto"/>
              <w:ind w:left="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sterowania ustawieniami dźwięku         (mikrofonu konsoli chirurgicznej i głośnika z kolumny ramion robotycznych)</w:t>
            </w:r>
          </w:p>
          <w:p w14:paraId="0942AEC8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EC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ECA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ECB" w14:textId="77777777" w:rsidR="002D66FC" w:rsidRDefault="00570CC6">
            <w:pPr>
              <w:pStyle w:val="Standard"/>
              <w:numPr>
                <w:ilvl w:val="0"/>
                <w:numId w:val="21"/>
              </w:numPr>
              <w:spacing w:after="0" w:line="240" w:lineRule="auto"/>
              <w:ind w:left="169" w:hanging="1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sterowanie funkcją telestracji</w:t>
            </w:r>
          </w:p>
          <w:p w14:paraId="0942AECC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ECD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ECE" w14:textId="77777777" w:rsidR="002D66FC" w:rsidRDefault="00570CC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CF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D6" w14:textId="77777777">
        <w:trPr>
          <w:cantSplit/>
          <w:trHeight w:val="275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1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2" w14:textId="77777777" w:rsidR="002D66FC" w:rsidRDefault="00570CC6">
            <w:pPr>
              <w:pStyle w:val="Standard"/>
              <w:spacing w:after="0" w:line="240" w:lineRule="auto"/>
              <w:jc w:val="both"/>
            </w:pPr>
            <w:bookmarkStart w:id="4" w:name="_k54qudaemqkh"/>
            <w:bookmarkEnd w:id="4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integracji z drugą konsolą chirurgiczną (nie stanowiącą przedmiotu zamówienia) umożliwiającą współpracę operatorów każdej z konsol, polegającą na możliwości przekazania uprawnień zarządzania wszystkimi dostępnymi narzędziami oraz endoskopem, sterowanie wirtualnym wskaźnikiem.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3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D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DC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7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8" w14:textId="77777777" w:rsidR="002D66FC" w:rsidRDefault="00570CC6">
            <w:pPr>
              <w:pStyle w:val="Standard"/>
              <w:spacing w:after="0" w:line="240" w:lineRule="auto"/>
            </w:pPr>
            <w:bookmarkStart w:id="5" w:name="_uoi25twrfig"/>
            <w:bookmarkEnd w:id="5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przypadku błędu nieodwracalnego systemu robotycznego lub nagłej utraty zasilania - funkcja restartu systemu chirurgii robotycznej z poziomu konsoli chirurgicznej  przez operatora - bez konieczności usuwania narzędzi robotycznych z pola operacyjnego w czasie restartu systemu.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DB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E2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D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E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WÓZEK/KI ROBOTYCZNY/E PACJENTA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DF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0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E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EB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3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4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Wózek robotyczny pacjenta z 4 szt uniwersalnych ramion robotycznych lub 4 szt wózków robotycznych z pojedynczymi ramionami robotycznymi (z czego 1 szt ramienia robotycznego dedykowana do endoskopu z kamerą).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5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6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Mobilny, pojedynczy wózek wyposażony w: kolumnę z przegubami nastawczymi,  czteroma uniwersalnymi ramionami robotycznymi zamocowanymi do pojedynczej kolumny-  zapewniający ruchy narzędzi chirurgicznych realizowane przez zagięcie kątowe/artykulację końcówek narzędzi chirurgicznych w zakresie minimum 540 stopni</w:t>
            </w:r>
          </w:p>
          <w:p w14:paraId="0942AEE7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EE8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EE9" w14:textId="77777777" w:rsidR="002D66FC" w:rsidRDefault="00570CC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E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F5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C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D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Wózek/ki robotyczne mobilne.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E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EF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Napęd elektryczny wózka:</w:t>
            </w:r>
          </w:p>
          <w:p w14:paraId="0942AEF0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umożliwiający sterowanie ruchem podczas transportu oraz dokowania</w:t>
            </w:r>
          </w:p>
          <w:p w14:paraId="0942AEF1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EF2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EF3" w14:textId="77777777" w:rsidR="002D66FC" w:rsidRDefault="00570CC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F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EFE" w14:textId="77777777">
        <w:trPr>
          <w:cantSplit/>
          <w:trHeight w:val="1132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F6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F7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Kolumna(y) robotyczna(e) z możliwością co najmniej:</w:t>
            </w:r>
          </w:p>
          <w:p w14:paraId="0942AEF8" w14:textId="77777777" w:rsidR="002D66FC" w:rsidRDefault="00570CC6">
            <w:pPr>
              <w:pStyle w:val="Standard"/>
              <w:numPr>
                <w:ilvl w:val="0"/>
                <w:numId w:val="38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obrotu ramion względem osi pionowej i poziomej,</w:t>
            </w:r>
          </w:p>
          <w:p w14:paraId="0942AEF9" w14:textId="77777777" w:rsidR="002D66FC" w:rsidRDefault="00570CC6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możliwością ustalenia pivotu ramion/enia robotycznych/ego</w:t>
            </w:r>
          </w:p>
          <w:p w14:paraId="0942AEFA" w14:textId="77777777" w:rsidR="002D66FC" w:rsidRDefault="00570CC6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systemem laserowym umożliwiającym ustalanie  centralnego punktu dokowania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FB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F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EF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04" w14:textId="77777777">
        <w:trPr>
          <w:cantSplit/>
          <w:trHeight w:val="54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EFF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0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Przeguby nastawcze służące do ustawiania ramion na platformie operacyjnej w celu ustalenia pivotu i dokowania.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1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0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0A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5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6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Ramiona robotyczne wyposażone w mocowanie na narzędzia z możliwością zastosowania sterylnego, jednorazowego obłożenia ramienia robotycznego.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7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8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0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14" w14:textId="77777777">
        <w:trPr>
          <w:cantSplit/>
          <w:trHeight w:val="1476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B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0C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Ramiona robotyczne współpracujące z artykulacyjnymi narzędziami chirurgii robotycznej, które posiadają certyfikat CE.</w:t>
            </w:r>
          </w:p>
          <w:p w14:paraId="0942AF0D" w14:textId="77777777" w:rsidR="002D66FC" w:rsidRDefault="00570CC6">
            <w:pPr>
              <w:pStyle w:val="Standard"/>
              <w:numPr>
                <w:ilvl w:val="0"/>
                <w:numId w:val="39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Artykulacyjne monopolarne narzędzia elektrochirurgiczne co najmniej 3 typy,</w:t>
            </w:r>
          </w:p>
          <w:p w14:paraId="0942AF0E" w14:textId="77777777" w:rsidR="002D66FC" w:rsidRDefault="00570CC6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Artykulacyjne bipolarne narzędzia elektrochirurgiczne co najmniej 3 typy,</w:t>
            </w:r>
          </w:p>
          <w:p w14:paraId="0942AF0F" w14:textId="77777777" w:rsidR="002D66FC" w:rsidRDefault="00570CC6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Artykulacyjne graspery co najmniej 4 typy.</w:t>
            </w:r>
          </w:p>
          <w:p w14:paraId="0942AF10" w14:textId="77777777" w:rsidR="002D66FC" w:rsidRDefault="00570CC6">
            <w:pPr>
              <w:pStyle w:val="Standard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Artykulacyjne imadła co najmniej 2 typy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11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1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1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1F" w14:textId="77777777">
        <w:trPr>
          <w:cantSplit/>
          <w:trHeight w:val="69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15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16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Ramiona robotyczne współpracujące z artykulacyjnymi i specjalistycznymi narzędziami chirurgii robotycznej, które posiadają certyfikat CE.</w:t>
            </w:r>
          </w:p>
          <w:p w14:paraId="0942AF17" w14:textId="77777777" w:rsidR="002D66FC" w:rsidRDefault="00570CC6">
            <w:pPr>
              <w:pStyle w:val="Standard"/>
              <w:numPr>
                <w:ilvl w:val="0"/>
                <w:numId w:val="40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Jednorazowe sterylne, artykulacyjne narzędzie bipolarne chirurgii robotycznej do uszczelniania i cięcia naczyń krwionośnych do średnicy 7mm, chwytania i dysekcji.</w:t>
            </w:r>
          </w:p>
          <w:p w14:paraId="0942AF18" w14:textId="77777777" w:rsidR="002D66FC" w:rsidRDefault="00570CC6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Jednorazowy sterylny, artykulacyjny stapler chirurgii robotycznej, z prostą końcówką bransz - o długości szycia (45 lub 60 mm) wraz z możliwością wyboru kompletu magazynków sześciorzędowych zszywek o wysokości ( w przedziale 2,5mm-4,6mm).</w:t>
            </w:r>
          </w:p>
          <w:p w14:paraId="0942AF19" w14:textId="77777777" w:rsidR="002D66FC" w:rsidRDefault="00570CC6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Wielorazowe artykulacyjne klipsownice chirurgii robotycznej .</w:t>
            </w:r>
          </w:p>
          <w:p w14:paraId="0942AF1A" w14:textId="77777777" w:rsidR="002D66FC" w:rsidRDefault="00570CC6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Wielorazowe artykulacyjne narzędzie bipolarne o zmiennej sile zacisku bransz ( mocna/słaba).</w:t>
            </w:r>
          </w:p>
          <w:p w14:paraId="0942AF1B" w14:textId="77777777" w:rsidR="002D66FC" w:rsidRDefault="00570CC6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Jednorazowy sterylny ssak-irygator z artykulacją nadgarstkową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1C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1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1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30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20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21" w14:textId="77777777" w:rsidR="002D66FC" w:rsidRDefault="00570CC6">
            <w:pPr>
              <w:pStyle w:val="Standard"/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Endoskopy, w ramach dostawy:</w:t>
            </w:r>
          </w:p>
          <w:p w14:paraId="0942AF22" w14:textId="77777777" w:rsidR="002D66FC" w:rsidRDefault="00570CC6">
            <w:pPr>
              <w:pStyle w:val="Standard"/>
              <w:numPr>
                <w:ilvl w:val="0"/>
                <w:numId w:val="41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szt endoskopu z końcówką 30°, 3D HD,</w:t>
            </w:r>
          </w:p>
          <w:p w14:paraId="0942AF23" w14:textId="77777777" w:rsidR="002D66FC" w:rsidRDefault="00570CC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szt endoskopu z końcówką 0°, 3D HD,</w:t>
            </w:r>
          </w:p>
          <w:p w14:paraId="0942AF24" w14:textId="77777777" w:rsidR="002D66FC" w:rsidRDefault="00570CC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wszystkie endoskopy zintegrowane z kamerą/ami,</w:t>
            </w:r>
          </w:p>
          <w:p w14:paraId="0942AF25" w14:textId="77777777" w:rsidR="002D66FC" w:rsidRDefault="00570CC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  minimalnym powiększeniu optycznym 10 krotnym,</w:t>
            </w:r>
          </w:p>
          <w:p w14:paraId="0942AF26" w14:textId="77777777" w:rsidR="002D66FC" w:rsidRDefault="00570CC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 minimalnym powiększeniu cyfrowym 4 krotnym,</w:t>
            </w:r>
          </w:p>
          <w:p w14:paraId="0942AF27" w14:textId="77777777" w:rsidR="002D66FC" w:rsidRDefault="00570CC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wbudowany laser podczerwieni w celu wizualizacji znacznika ICG.</w:t>
            </w:r>
          </w:p>
          <w:p w14:paraId="0942AF28" w14:textId="77777777" w:rsidR="002D66FC" w:rsidRDefault="00570CC6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Automatyczny balans bieli i kalibracja 3D, po podłączeniu endoskopu do kontrolera.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2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2A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osadzenia endoskopu chirurgii robotycznej w każdym z ramion robotycznych wózka robotycznego, bez konieczności zmiany kaniuli (lub założenia redukcji kaniuli) i bez konieczności przestawiania wózka robotycznego w polu operacyjnym</w:t>
            </w:r>
          </w:p>
          <w:p w14:paraId="0942AF2B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F2C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F2D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F2E" w14:textId="77777777" w:rsidR="002D66FC" w:rsidRDefault="00570CC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2F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36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1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2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sterowania funkcjami endoskopu (ustawienia kąta widzenia, horyzontu, wykonania zdjęcia)z poziomu konsoli chirurgicznej.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3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3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3C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7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8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sterowania funkcjami endoskopu   z poziomu głowicy kamery endoskopu zainstalowanego w ramieniu robotycznym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3B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42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D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E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Automatyczne wykrywanie przez system robotyczny położenia endoskopu (o kącie 30 stopni) bezpośrednio po zamontowaniu do ramienia robotycznego.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3F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0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4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48" w14:textId="77777777">
        <w:trPr>
          <w:cantSplit/>
          <w:trHeight w:val="70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3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4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„awaryjnego” otwarcia bransz narzędzi robotycznych w czasie zabiegu operacyjnego z użyciem dedykowanego śrubokręta bez konieczności wyjmowania narzędzi z ramienia robotycznego.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5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6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47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4E" w14:textId="77777777">
        <w:trPr>
          <w:cantSplit/>
          <w:trHeight w:val="695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9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A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zmiany narzędzia robotycznego i endoskopu robotycznego na inny w czasie zabiegu operacyjnego  z pamięcią jego ostatniego położenia w całym zasięgu ramienia robotycznego (również blisko granicy zasięgu ramienia).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B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4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54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4F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0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SYSTEM WIZYJNY – 1 szt.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1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5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5B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5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6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 wizyjny zintegrowany na poziomie softwerowym z robotem chirurgicznym, na kolumnie mobilnej.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7" w14:textId="77777777" w:rsidR="002D66FC" w:rsidRDefault="002D66F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F58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5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6D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C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5D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 wizyjny wyposażony co najmniej w:</w:t>
            </w:r>
          </w:p>
          <w:p w14:paraId="0942AF5E" w14:textId="77777777" w:rsidR="002D66FC" w:rsidRDefault="00570CC6">
            <w:pPr>
              <w:pStyle w:val="Standard"/>
              <w:numPr>
                <w:ilvl w:val="0"/>
                <w:numId w:val="42"/>
              </w:numPr>
              <w:spacing w:before="120" w:after="0" w:line="240" w:lineRule="auto"/>
              <w:ind w:left="324" w:hanging="28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 wizyjny o wysokiej rozdzielczości HD,</w:t>
            </w:r>
          </w:p>
          <w:p w14:paraId="0942AF5F" w14:textId="77777777" w:rsidR="002D66FC" w:rsidRDefault="00570CC6">
            <w:pPr>
              <w:pStyle w:val="Standard"/>
              <w:numPr>
                <w:ilvl w:val="0"/>
                <w:numId w:val="9"/>
              </w:numPr>
              <w:spacing w:before="120" w:after="0" w:line="240" w:lineRule="auto"/>
              <w:ind w:left="324" w:hanging="28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Endoskopy (parametry wymagane opisane w punkcie 25,</w:t>
            </w:r>
          </w:p>
          <w:p w14:paraId="0942AF60" w14:textId="77777777" w:rsidR="002D66FC" w:rsidRDefault="00570CC6">
            <w:pPr>
              <w:pStyle w:val="Standard"/>
              <w:numPr>
                <w:ilvl w:val="0"/>
                <w:numId w:val="9"/>
              </w:numPr>
              <w:spacing w:before="120" w:after="0" w:line="240" w:lineRule="auto"/>
              <w:ind w:left="324" w:hanging="28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 minimum 24” wyświetlający obraz z endoskopu (lewego lub prawego kanału optycznego),</w:t>
            </w:r>
          </w:p>
          <w:p w14:paraId="0942AF61" w14:textId="77777777" w:rsidR="002D66FC" w:rsidRDefault="00570CC6">
            <w:pPr>
              <w:pStyle w:val="Standard"/>
              <w:numPr>
                <w:ilvl w:val="0"/>
                <w:numId w:val="9"/>
              </w:numPr>
              <w:spacing w:before="120" w:after="0" w:line="240" w:lineRule="auto"/>
              <w:ind w:left="324" w:hanging="28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panel sterujący na ekranie monitora umożliwiający regulację co najmniej:</w:t>
            </w:r>
          </w:p>
          <w:p w14:paraId="0942AF62" w14:textId="77777777" w:rsidR="002D66FC" w:rsidRDefault="00570CC6">
            <w:pPr>
              <w:pStyle w:val="Standard"/>
              <w:numPr>
                <w:ilvl w:val="0"/>
                <w:numId w:val="43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ustawienia parametrów obrazu pola operacyjnego,</w:t>
            </w:r>
          </w:p>
          <w:p w14:paraId="0942AF63" w14:textId="77777777" w:rsidR="002D66FC" w:rsidRDefault="00570CC6">
            <w:pPr>
              <w:pStyle w:val="Standard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sterowanie parametrami endoskopu i konfiguracja sygnałów wideo i audio.</w:t>
            </w:r>
          </w:p>
          <w:p w14:paraId="0942AF64" w14:textId="77777777" w:rsidR="002D66FC" w:rsidRDefault="00570CC6">
            <w:pPr>
              <w:pStyle w:val="Standard"/>
              <w:numPr>
                <w:ilvl w:val="0"/>
                <w:numId w:val="9"/>
              </w:numPr>
              <w:shd w:val="clear" w:color="auto" w:fill="FFFFFF"/>
              <w:tabs>
                <w:tab w:val="left" w:pos="588"/>
              </w:tabs>
              <w:spacing w:before="120" w:after="0" w:line="240" w:lineRule="auto"/>
              <w:ind w:left="31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sterowania sygnałami na zewnątrz (w konfiguracji 2D HD i 3D HD) do monitorów zewnętrznych i źródeł streamingowych.</w:t>
            </w:r>
          </w:p>
          <w:p w14:paraId="0942AF65" w14:textId="77777777" w:rsidR="002D66FC" w:rsidRDefault="00570CC6">
            <w:pPr>
              <w:pStyle w:val="Standard"/>
              <w:numPr>
                <w:ilvl w:val="0"/>
                <w:numId w:val="9"/>
              </w:numPr>
              <w:shd w:val="clear" w:color="auto" w:fill="FFFFFF"/>
              <w:tabs>
                <w:tab w:val="left" w:pos="588"/>
              </w:tabs>
              <w:spacing w:before="120" w:after="0" w:line="240" w:lineRule="auto"/>
              <w:ind w:left="31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konfiguracja – komunikaty głosowe i instrukcja „krok po kroku” w celu pomyślnego przygotowania  ustawienia i zadokowania wózka robotycznego pacjenta do pacjenta.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66" w14:textId="77777777" w:rsidR="002D66FC" w:rsidRDefault="00570CC6">
            <w:pPr>
              <w:pStyle w:val="Standard"/>
              <w:spacing w:after="0" w:line="240" w:lineRule="auto"/>
              <w:ind w:left="1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67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 toru wizyjnego wyświetlający  obraz z przeglądarki 3D HD konsoli chirurgicznej, obrazy zewnętrzne (USG )</w:t>
            </w:r>
          </w:p>
          <w:p w14:paraId="0942AF68" w14:textId="77777777" w:rsidR="002D66FC" w:rsidRDefault="00570CC6">
            <w:pPr>
              <w:pStyle w:val="Standard"/>
              <w:spacing w:after="0" w:line="240" w:lineRule="auto"/>
              <w:ind w:left="1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 – 20 pkt</w:t>
            </w:r>
          </w:p>
          <w:p w14:paraId="0942AF69" w14:textId="77777777" w:rsidR="002D66FC" w:rsidRDefault="00570CC6">
            <w:pPr>
              <w:pStyle w:val="Standard"/>
              <w:spacing w:after="0" w:line="240" w:lineRule="auto"/>
              <w:ind w:left="16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Nie- 0 pkt</w:t>
            </w:r>
          </w:p>
          <w:p w14:paraId="0942AF6A" w14:textId="77777777" w:rsidR="002D66FC" w:rsidRDefault="002D66FC">
            <w:pPr>
              <w:pStyle w:val="Standard"/>
              <w:spacing w:after="0" w:line="240" w:lineRule="auto"/>
              <w:ind w:left="1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F6B" w14:textId="77777777" w:rsidR="002D66FC" w:rsidRDefault="00570CC6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6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73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6E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6F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WYPOSAŻENIE ZESTAWU ROBOTA CHIRURGICZNEGO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70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7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7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7F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74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7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Zestaw narzędzi i akcesoriów posiadających certyfikat CE do wykonania minimum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zabiegów z zakresu:</w:t>
            </w:r>
          </w:p>
          <w:p w14:paraId="0942AF76" w14:textId="77777777" w:rsidR="002D66FC" w:rsidRDefault="00570CC6">
            <w:pPr>
              <w:pStyle w:val="Standard"/>
              <w:numPr>
                <w:ilvl w:val="0"/>
                <w:numId w:val="44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Urologia</w:t>
            </w:r>
          </w:p>
          <w:p w14:paraId="0942AF77" w14:textId="77777777" w:rsidR="002D66FC" w:rsidRDefault="00570CC6">
            <w:pPr>
              <w:pStyle w:val="Standard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Chirurgia ogólna/kolorektalna</w:t>
            </w:r>
          </w:p>
          <w:p w14:paraId="0942AF78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tym do każdego z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zabiegów(Poz. b)) należy uwzględnić 1 szt  narzędzia zaawansowanego dostępnego spośród narzędzi robotycznych zaawansowanych opisanych powyżej. W przypadku staplera należy przyjąć 2 szt. magazynków do zabiegu.</w:t>
            </w:r>
          </w:p>
          <w:p w14:paraId="0942AF79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m. in. wielorazowe narzędzia chirurgiczne z głowicą przegubową / artykulacyjną: dostępne narzędzia zgodnie z wymaganiami powyżej, trokary współpracujące z ramionami robotycznymi, obłożenia jednorazowe ramion i kolumny/ przedłużenia ramienia robotycznego, kable mono-bipolarne, uszczelki jednorazowe, osłony nożyc monopolarnych).</w:t>
            </w:r>
          </w:p>
          <w:p w14:paraId="0942AF7A" w14:textId="77777777" w:rsidR="002D66FC" w:rsidRDefault="002D66F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42AF7B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Termin przydatności do użycia  narzędzi/ akcesoriów sterylnych, jednorazowego użytku nie może być krótszy niż 12 miesięcy.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7C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TAK, podać zaoferowaną ilość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7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7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85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0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1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Wykonawca będzie odpowiadał za weryfikację terminów przydatności wyrobów jednorazowego użytku.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2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8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8B" w14:textId="77777777">
        <w:trPr>
          <w:cantSplit/>
          <w:trHeight w:val="41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6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7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 elektrochirurgii/diatermia zintegrowany na poziomie oprogramowania z zaoferowanym robotem chirurgicznym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8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8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9D" w14:textId="77777777">
        <w:trPr>
          <w:cantSplit/>
          <w:trHeight w:val="281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C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8D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 elektrochirurgii/diatermia:</w:t>
            </w:r>
          </w:p>
          <w:p w14:paraId="0942AF8E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tryby umożliwiające wykonywanie cięcia i koagulacji w trybach monopolarnym i bipolarnym,</w:t>
            </w:r>
          </w:p>
          <w:p w14:paraId="0942AF8F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koagulacja dużych naczyń do 7 mm do wykorzystania specjalistycznych narzędzi do laparotomii i laparoskopii,</w:t>
            </w:r>
          </w:p>
          <w:p w14:paraId="0942AF90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możliwość rozbudowy o przystawkę argonową,</w:t>
            </w:r>
          </w:p>
          <w:p w14:paraId="0942AF91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monitorowanie poprawnego przylegania elektrody neutralnej z możliwością odczytu wartości liczbowej,</w:t>
            </w:r>
          </w:p>
          <w:p w14:paraId="0942AF92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możliwość tworzenia programów i zapisania ich,</w:t>
            </w:r>
          </w:p>
          <w:p w14:paraId="0942AF93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gniazda przyłączeniowe monopolarne, bipolarne, neutralne uniwersalne,</w:t>
            </w:r>
          </w:p>
          <w:p w14:paraId="0942AF94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możliwość pracy z funkcją automatycznej aktywacji po uzyskaniu bezpośredniego kontaktu elektrody z tkanką,</w:t>
            </w:r>
          </w:p>
          <w:p w14:paraId="0942AF9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ewakuator dymu.</w:t>
            </w:r>
          </w:p>
          <w:p w14:paraId="0942AF96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Wyposażenie zestawu startowego:</w:t>
            </w:r>
          </w:p>
          <w:p w14:paraId="0942AF97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Włączniki noży, wózek, , uchwyty monopolarne wielorazowe 2 szt., uchwyty monopolarne sterylne  25 szt., elektrody szpatułkowe w 3 rozmiarach 15 szt., 2 narzędzia specjalistyczne do zamykania dużych naczyń do zabiegów laparoskopowych, 10 szt. narzędzi sterylnych do zamykania dużych naczyń do zabiegów laparoskopowych, 100 szt. elektrod neutralnych jednorazowych, 1 filtr główny do ewakuatora dymów, 30 szt. filtrów wstępnych do ewakuatora, 20 szt. uchwytów ze szpatułką, 10 szt. Drenów do laparoskopii do odprowadzenia dymu.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98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TAK, podać</w:t>
            </w:r>
          </w:p>
          <w:p w14:paraId="0942AF99" w14:textId="77777777" w:rsidR="002D66FC" w:rsidRDefault="00570CC6">
            <w:pPr>
              <w:pStyle w:val="Standard"/>
              <w:numPr>
                <w:ilvl w:val="0"/>
                <w:numId w:val="45"/>
              </w:numPr>
              <w:tabs>
                <w:tab w:val="left" w:pos="856"/>
              </w:tabs>
              <w:spacing w:before="57" w:after="0" w:line="240" w:lineRule="auto"/>
              <w:ind w:left="397" w:hanging="34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model/typ</w:t>
            </w:r>
          </w:p>
          <w:p w14:paraId="0942AF9A" w14:textId="77777777" w:rsidR="002D66FC" w:rsidRDefault="00570CC6">
            <w:pPr>
              <w:pStyle w:val="Standard"/>
              <w:numPr>
                <w:ilvl w:val="0"/>
                <w:numId w:val="13"/>
              </w:numPr>
              <w:tabs>
                <w:tab w:val="left" w:pos="856"/>
              </w:tabs>
              <w:spacing w:before="57" w:after="0" w:line="240" w:lineRule="auto"/>
              <w:ind w:left="397" w:hanging="34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9B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9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A3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9E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9F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Symulator służący do nauki i do oceny sprawności manualnej Operatorów z pakietem ćwiczeń podstawowych zawartych przez Producenta w programie nauczania operatora.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0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A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A9" w14:textId="77777777">
        <w:trPr>
          <w:cantSplit/>
          <w:trHeight w:val="350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4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Nagrywarka medyczna z 3 szt. dysków twardych 4TB External HDD USB 3.2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6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7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A8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AF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A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B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 medyczny min. 55” z zawieszeniem ściennym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C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A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A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B5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0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1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WYMAGANIA DODATKOWE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2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B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BB" w14:textId="77777777">
        <w:trPr>
          <w:cantSplit/>
          <w:trHeight w:val="8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6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7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Aplikacja na telefon komórkowy, która umożliwia operatorowi konsoli chirurgicznej na wgląd do danych zabiegu np.: czasu konsolowego, użytych narzędzi chirurgicznych - z możliwością porównania czasu konsolowego z danymi światowymi.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8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B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C1" w14:textId="77777777">
        <w:trPr>
          <w:cantSplit/>
          <w:trHeight w:val="853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C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D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dostarczenia dodatkowej konsoli chirurgicznej w procesie edukacji, która będzie posiadała możliwość integracji z zakupionym systemem chirurgii robotycznej  – na wskazany przez Zamawiającego zabieg chirurgiczny (termin dostawy i odbioru do ustalenia przez obie strony).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E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BF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C0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C7" w14:textId="77777777">
        <w:trPr>
          <w:cantSplit/>
          <w:trHeight w:val="41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2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3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Aktualizacja software systemu chirurgii robotycznej poprzez łącze internetowe.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4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C6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CD" w14:textId="77777777">
        <w:trPr>
          <w:cantSplit/>
          <w:trHeight w:val="606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8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9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mycia i dezynfekcji poszczególnych elementów aparatów w oparciu o przedstawione przez wykonawcę zalecane preparaty myjące i dezynfekujące.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A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B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C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D0" w14:textId="77777777">
        <w:trPr>
          <w:cantSplit/>
          <w:trHeight w:val="404"/>
        </w:trPr>
        <w:tc>
          <w:tcPr>
            <w:tcW w:w="8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CE" w14:textId="77777777" w:rsidR="002D66FC" w:rsidRDefault="00570CC6">
            <w:pPr>
              <w:pStyle w:val="Standard"/>
              <w:spacing w:after="0" w:line="240" w:lineRule="auto"/>
              <w:jc w:val="both"/>
            </w:pPr>
            <w:bookmarkStart w:id="6" w:name="_cu7hvaenwfah"/>
            <w:bookmarkEnd w:id="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Inne wymagania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CF" w14:textId="77777777" w:rsidR="002D66FC" w:rsidRDefault="002D66F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66FC" w14:paraId="0942AFD6" w14:textId="77777777">
        <w:trPr>
          <w:cantSplit/>
          <w:trHeight w:val="333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1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2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przedmiotu oferty w języku polskim (1szt. papierowa dostarczona wraz dostawą).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3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4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D5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DC" w14:textId="77777777">
        <w:trPr>
          <w:cantSplit/>
          <w:trHeight w:val="657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7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8" w14:textId="77777777" w:rsidR="002D66FC" w:rsidRDefault="00570CC6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konserwacji, mycia, dezynfekcji i sterylizacji w języku polskim (1szt. papierowa dostarczona wraz dostawą).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A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DB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E2" w14:textId="77777777">
        <w:trPr>
          <w:cantSplit/>
          <w:trHeight w:val="333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D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E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Deklaracja(e) zgodności CE.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DF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0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E1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E8" w14:textId="77777777">
        <w:trPr>
          <w:cantSplit/>
          <w:trHeight w:val="610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3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4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Oświadczamy, że przedmiot oferty jest kompletny i będzie gotowy do pracy zgodnie z instrukcją obsługi bez żadnych dodatkowych zakupów.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5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6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E7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EF" w14:textId="77777777">
        <w:trPr>
          <w:cantSplit/>
          <w:trHeight w:val="549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9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A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Dostawca zobowiązuje się do:</w:t>
            </w:r>
          </w:p>
          <w:p w14:paraId="0942AFEB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dokonania instalacji we wskazanym miejscu przez Zamawiającego.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C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ED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EE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F7" w14:textId="77777777">
        <w:trPr>
          <w:cantSplit/>
          <w:trHeight w:val="844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0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1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Dostawca zobowiązuje się do:</w:t>
            </w:r>
          </w:p>
          <w:p w14:paraId="0942AFF2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dokonania szkolenia w zakresie obsługi robota chirurgicznego dla pracowników technicznych.</w:t>
            </w:r>
          </w:p>
          <w:p w14:paraId="0942AFF3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dokonania szkolenia w zakresie konserwacji, mycia, dezynfekcji i sterylizacji narzędzi wykorzystywanych do robota chirurgicznego.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4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5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F6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AFFD" w14:textId="77777777">
        <w:trPr>
          <w:cantSplit/>
          <w:trHeight w:val="604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8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9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Dostawca zobowiązuje się do dokonania szkolenia podstawowego obsługowego w miejscu instalacji po odbiorze sprzętu w terminie wskazanym przez Zamawiającego  – dotyczy robota chirurgicznego.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A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B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AFFC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09" w14:textId="77777777">
        <w:trPr>
          <w:cantSplit/>
          <w:trHeight w:val="1131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E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AFFF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Dostawca zobowiązuje się do dokonania szkolenia rozszerzonego dla personelu medycznego z zakresu obsługi urządzenia  (robota chirurgicznego).</w:t>
            </w:r>
          </w:p>
          <w:p w14:paraId="0942B000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zorganizowane  dla 4 zespołów (skład zespołu: operator i asystent).</w:t>
            </w:r>
          </w:p>
          <w:p w14:paraId="0942B001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Szkolenia będą odbywać się po odbiorze sprzętu w terminach wskazanych przez Zamawiającego.</w:t>
            </w:r>
          </w:p>
          <w:p w14:paraId="0942B002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Obszary kliniczne szkolenia:</w:t>
            </w:r>
          </w:p>
          <w:p w14:paraId="0942B003" w14:textId="77777777" w:rsidR="002D66FC" w:rsidRDefault="00570CC6">
            <w:pPr>
              <w:pStyle w:val="Standard"/>
              <w:numPr>
                <w:ilvl w:val="0"/>
                <w:numId w:val="46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urologia / chirurgia ogólna</w:t>
            </w:r>
          </w:p>
          <w:p w14:paraId="0942B004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 razie potrzeby Zamawiającego możliwość wsparcia aplikacyjnego w czasie gwarancji.</w:t>
            </w:r>
          </w:p>
          <w:p w14:paraId="0942B00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Wykonawca dostarczy kopię certyfikatów z  zakończonego szkolenia do sekcji zakupu sprzętu medycznego.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06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07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08" w14:textId="77777777" w:rsidR="002D66FC" w:rsidRDefault="002D66FC">
            <w:pPr>
              <w:pStyle w:val="Standard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0C" w14:textId="77777777">
        <w:trPr>
          <w:cantSplit/>
          <w:trHeight w:val="288"/>
        </w:trPr>
        <w:tc>
          <w:tcPr>
            <w:tcW w:w="8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0A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gwarancji i serwisu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0B" w14:textId="77777777" w:rsidR="002D66FC" w:rsidRDefault="002D66F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66FC" w14:paraId="0942B018" w14:textId="77777777">
        <w:trPr>
          <w:cantSplit/>
          <w:trHeight w:val="275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3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4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Autoryzowany serwis na terenie Polski.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5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16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17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1E" w14:textId="77777777">
        <w:trPr>
          <w:cantSplit/>
          <w:trHeight w:val="109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9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A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Możliwość </w:t>
            </w:r>
            <w:bookmarkStart w:id="7" w:name="_Hlk221649546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dostępu przez zespół kliniczny do pomocy technicznej robota chirurgicznego w wymiarze 24/7, również w czasie wykonywanego zabiegu. Kontakt z pomocą techniczną producenta poprzez łącze telefoniczne z możliwością diagnostyki serwisowej online przez chronione łącze systemu chirurgii robotycznej, również w czasie wykonywania zabiegu.</w:t>
            </w:r>
            <w:bookmarkEnd w:id="7"/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B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C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1D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24" w14:textId="77777777">
        <w:trPr>
          <w:cantSplit/>
          <w:trHeight w:val="101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1F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20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Zdalna diagnostyka przez chronione łącze z możliwością rejestracji i odczytu online rejestrów błędów przez lokalnych ( krajowych) certyfikowanych inżynierów serwisowych, oraz monitorowaniem systemu (uwaga – całość ewentualnych prac i wyposażenia sprzętowego, które będzie służyło tej funkcjonalności po stronie wykonawcy).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21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22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23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30" w14:textId="77777777">
        <w:trPr>
          <w:cantSplit/>
          <w:trHeight w:val="505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2B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2C" w14:textId="04A91E05" w:rsidR="002D66FC" w:rsidRDefault="004200C4">
            <w:pPr>
              <w:pStyle w:val="Standard"/>
              <w:spacing w:after="0" w:line="240" w:lineRule="auto"/>
              <w:jc w:val="both"/>
            </w:pPr>
            <w:r w:rsidRPr="004200C4">
              <w:rPr>
                <w:rFonts w:ascii="Times New Roman" w:eastAsia="Times New Roman" w:hAnsi="Times New Roman" w:cs="Times New Roman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2D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2E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2F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36" w14:textId="77777777">
        <w:trPr>
          <w:cantSplit/>
          <w:trHeight w:val="342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1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2" w14:textId="26DA9F3C" w:rsidR="002D66FC" w:rsidRDefault="004200C4">
            <w:pPr>
              <w:pStyle w:val="Standard"/>
              <w:spacing w:after="0" w:line="240" w:lineRule="auto"/>
              <w:jc w:val="both"/>
            </w:pPr>
            <w:r w:rsidRPr="004200C4">
              <w:rPr>
                <w:rFonts w:ascii="Times New Roman" w:eastAsia="Times New Roman" w:hAnsi="Times New Roman" w:cs="Times New Roman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3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34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35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3C" w14:textId="77777777">
        <w:trPr>
          <w:cantSplit/>
          <w:trHeight w:val="565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7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8" w14:textId="6472E30C" w:rsidR="002D66FC" w:rsidRDefault="004200C4">
            <w:pPr>
              <w:pStyle w:val="Standard"/>
              <w:spacing w:after="0" w:line="240" w:lineRule="auto"/>
              <w:jc w:val="both"/>
            </w:pPr>
            <w:r w:rsidRPr="004200C4">
              <w:rPr>
                <w:rFonts w:ascii="Times New Roman" w:eastAsia="Times New Roman" w:hAnsi="Times New Roman" w:cs="Times New Roman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3A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3B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42" w14:textId="77777777">
        <w:trPr>
          <w:cantSplit/>
          <w:trHeight w:val="284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D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E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Godziny i sposób przyjmowania zgłoszeń o awariach.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3F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40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41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48" w14:textId="77777777">
        <w:trPr>
          <w:cantSplit/>
          <w:trHeight w:val="849"/>
        </w:trPr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43" w14:textId="77777777" w:rsidR="002D66FC" w:rsidRDefault="002D66FC">
            <w:pPr>
              <w:pStyle w:val="Standard"/>
              <w:numPr>
                <w:ilvl w:val="0"/>
                <w:numId w:val="25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44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Dostawca zobowiązany jest do wykonania obowiązkowych przeglądów technicznych w okresie obowiązywania gwarancji bez dodatkowej zapłaty, zgodnie z harmonogramem wymaganym przez producenta, ostatni z tych przeglądów w ostatnim miesiącu obowiązywania gwarancji.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45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46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47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942B04F" w14:textId="77777777" w:rsidR="002D66FC" w:rsidRDefault="002D66FC">
      <w:pPr>
        <w:pStyle w:val="Standard"/>
        <w:widowControl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942B050" w14:textId="77777777" w:rsidR="002D66FC" w:rsidRDefault="00570CC6">
      <w:pPr>
        <w:pStyle w:val="Standard"/>
        <w:widowControl/>
        <w:numPr>
          <w:ilvl w:val="0"/>
          <w:numId w:val="24"/>
        </w:numPr>
        <w:spacing w:after="240" w:line="240" w:lineRule="auto"/>
      </w:pPr>
      <w:r>
        <w:rPr>
          <w:b/>
          <w:bCs/>
          <w:color w:val="000000"/>
          <w:sz w:val="24"/>
          <w:szCs w:val="24"/>
        </w:rPr>
        <w:t>Uniwersalny stół operacyjny do chirurgii precyzyjnej  z wyposażeniem. - 1 kpl</w:t>
      </w:r>
    </w:p>
    <w:tbl>
      <w:tblPr>
        <w:tblW w:w="103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2536"/>
        <w:gridCol w:w="7233"/>
      </w:tblGrid>
      <w:tr w:rsidR="002D66FC" w14:paraId="0942B054" w14:textId="77777777">
        <w:trPr>
          <w:trHeight w:val="3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1" w14:textId="77777777" w:rsidR="002D66FC" w:rsidRDefault="00570CC6">
            <w:pPr>
              <w:pStyle w:val="Standard"/>
              <w:spacing w:line="240" w:lineRule="auto"/>
              <w:jc w:val="both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2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Dane podstawowe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3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Wpisać</w:t>
            </w:r>
          </w:p>
        </w:tc>
      </w:tr>
      <w:tr w:rsidR="002D66FC" w14:paraId="0942B058" w14:textId="77777777">
        <w:trPr>
          <w:trHeight w:val="3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5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6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7" w14:textId="77777777" w:rsidR="002D66FC" w:rsidRDefault="002D66FC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2D66FC" w14:paraId="0942B05C" w14:textId="77777777">
        <w:trPr>
          <w:trHeight w:val="44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9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A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B" w14:textId="77777777" w:rsidR="002D66FC" w:rsidRDefault="002D66FC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2D66FC" w14:paraId="0942B060" w14:textId="77777777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D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E" w14:textId="77777777" w:rsidR="002D66FC" w:rsidRDefault="00570CC6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42B05F" w14:textId="77777777" w:rsidR="002D66FC" w:rsidRDefault="002D66FC">
            <w:pPr>
              <w:pStyle w:val="Standard"/>
              <w:spacing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942B061" w14:textId="77777777" w:rsidR="002D66FC" w:rsidRDefault="002D66FC">
      <w:pPr>
        <w:pStyle w:val="Standard"/>
        <w:widowControl/>
        <w:spacing w:after="24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W w:w="10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4106"/>
        <w:gridCol w:w="2507"/>
        <w:gridCol w:w="1556"/>
        <w:gridCol w:w="1362"/>
      </w:tblGrid>
      <w:tr w:rsidR="002D66FC" w14:paraId="0942B06A" w14:textId="77777777">
        <w:trPr>
          <w:cantSplit/>
          <w:trHeight w:val="14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62" w14:textId="77777777" w:rsidR="002D66FC" w:rsidRDefault="002D66FC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942B063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64" w14:textId="605142A3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Opis parametrów</w:t>
            </w:r>
            <w:r w:rsidR="00F3427B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minimalnych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65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Wymagane wartości graniczne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66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Punktacja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67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Parametry, wartości ,  dane techniczne</w:t>
            </w:r>
          </w:p>
          <w:p w14:paraId="0942B068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(wypełnia Wykonawca</w:t>
            </w:r>
          </w:p>
          <w:p w14:paraId="0942B069" w14:textId="77777777" w:rsidR="002D66FC" w:rsidRDefault="00570CC6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2D66FC" w14:paraId="0942B06D" w14:textId="77777777">
        <w:trPr>
          <w:cantSplit/>
          <w:trHeight w:val="288"/>
        </w:trPr>
        <w:tc>
          <w:tcPr>
            <w:tcW w:w="8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6B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Minimalne parametry ogólne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6C" w14:textId="77777777" w:rsidR="002D66FC" w:rsidRDefault="002D66F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66FC" w14:paraId="0942B073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6E" w14:textId="77777777" w:rsidR="002D66FC" w:rsidRDefault="002D66FC">
            <w:pPr>
              <w:pStyle w:val="Standard"/>
              <w:numPr>
                <w:ilvl w:val="0"/>
                <w:numId w:val="47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6F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Uniwersalny stół operacyjny, segmentowy do chirurgii precyzyjnej (chirurgia ogólna i urologiczna)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0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7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79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4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Sprzęt fabrycznie nowy, nieużywany, nie powystawowy.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6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7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78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7F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A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7B" w14:textId="77777777" w:rsidR="002D66FC" w:rsidRPr="00570CC6" w:rsidRDefault="00570CC6">
            <w:pPr>
              <w:pStyle w:val="Standard"/>
              <w:spacing w:after="0" w:line="240" w:lineRule="auto"/>
              <w:jc w:val="both"/>
            </w:pPr>
            <w:r w:rsidRPr="00570CC6">
              <w:rPr>
                <w:rFonts w:ascii="Times New Roman" w:eastAsia="Times New Roman" w:hAnsi="Times New Roman" w:cs="Times New Roman"/>
                <w:sz w:val="20"/>
                <w:szCs w:val="20"/>
              </w:rPr>
              <w:t>Podpora ręki, minimum 2 szt.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7C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7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7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:rsidRPr="00570CC6" w14:paraId="0942B085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80" w14:textId="77777777" w:rsidR="002D66FC" w:rsidRPr="00570CC6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81" w14:textId="77777777" w:rsidR="002D66FC" w:rsidRPr="00570CC6" w:rsidRDefault="00570CC6">
            <w:pPr>
              <w:pStyle w:val="Standard"/>
              <w:spacing w:after="0" w:line="240" w:lineRule="auto"/>
              <w:jc w:val="both"/>
            </w:pPr>
            <w:r w:rsidRPr="00570CC6">
              <w:rPr>
                <w:rFonts w:ascii="Times New Roman" w:eastAsia="Times New Roman" w:hAnsi="Times New Roman" w:cs="Times New Roman"/>
                <w:sz w:val="20"/>
                <w:szCs w:val="20"/>
              </w:rPr>
              <w:t>Podpory pod barki do ułożeń Trendelenburga,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82" w14:textId="77777777" w:rsidR="002D66FC" w:rsidRPr="00570CC6" w:rsidRDefault="00570CC6">
            <w:pPr>
              <w:pStyle w:val="Standard"/>
              <w:spacing w:before="57" w:after="0" w:line="240" w:lineRule="auto"/>
              <w:jc w:val="center"/>
            </w:pPr>
            <w:r w:rsidRPr="00570CC6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83" w14:textId="77777777" w:rsidR="002D66FC" w:rsidRPr="00570CC6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84" w14:textId="77777777" w:rsidR="002D66FC" w:rsidRPr="00570CC6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8B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86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87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Ramka anestezjologiczna,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88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8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8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:rsidRPr="00570CC6" w14:paraId="0942B091" w14:textId="77777777">
        <w:trPr>
          <w:cantSplit/>
          <w:trHeight w:val="474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8C" w14:textId="77777777" w:rsidR="002D66FC" w:rsidRPr="00570CC6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8D" w14:textId="6FA4B71F" w:rsidR="002D66FC" w:rsidRPr="00570CC6" w:rsidRDefault="00570CC6">
            <w:pPr>
              <w:pStyle w:val="Standard"/>
              <w:spacing w:after="0" w:line="240" w:lineRule="auto"/>
              <w:jc w:val="both"/>
            </w:pPr>
            <w:r w:rsidRPr="00570CC6">
              <w:rPr>
                <w:rFonts w:ascii="Times New Roman" w:eastAsia="Times New Roman" w:hAnsi="Times New Roman" w:cs="Times New Roman"/>
                <w:sz w:val="20"/>
                <w:szCs w:val="20"/>
              </w:rPr>
              <w:t>Segment urologiczno-ginekologiczny z przystawką urologiczna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8E" w14:textId="77777777" w:rsidR="002D66FC" w:rsidRPr="00570CC6" w:rsidRDefault="00570CC6">
            <w:pPr>
              <w:pStyle w:val="Standard"/>
              <w:spacing w:before="57" w:after="0" w:line="240" w:lineRule="auto"/>
              <w:jc w:val="center"/>
            </w:pPr>
            <w:r w:rsidRPr="00570CC6"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8F" w14:textId="77777777" w:rsidR="002D66FC" w:rsidRPr="00570CC6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90" w14:textId="77777777" w:rsidR="002D66FC" w:rsidRPr="00570CC6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97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92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93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Podpory nóg regulowane na sprężynie gazowej,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94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9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96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9D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98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99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Materac próżniowy z matą antypoślizgową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9A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9B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9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A3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9E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9F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Materace  </w:t>
            </w:r>
            <w: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ezszwowe, przeciwodleżynowe, zdejmowane, grubość min 80 mm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A0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A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A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A9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A4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A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Wieszak kroplówki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A6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A7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A8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AF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AA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AB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Uniwersalny pozycjoner głowy,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AC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A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A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B5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B0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B1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Pas do mocowania pacjenta z regulacją długości min 1 szt.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B2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B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B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BB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B6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B7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Zaciski mocujåce kompatybilne ze stołem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B8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B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B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C1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BC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BD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Napęd stołu w zakresie regulacji wysokości oraz blokowania/odblokowywania podstawy stołu do podłoża.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BE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BF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C0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C7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C2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C3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Blokada podstawy stołu – blokowanie i odblokowywanie podstawy do podłoża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C4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C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C6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CD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C8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C9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Regulacja wysokości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CA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CB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C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D3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CE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CF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Stół wyposażony w zasilanie akumulatorowe i sieciowe.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D0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D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D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D9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D4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D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Blat segmentowy stołu wyposażony w materace bezszwowe o właściwościach przeciwodleżynowych, zdejmowane o grubości min. 80 mm.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D6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D7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D8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DF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DA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DB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Blat przezierny dla promieniowania RTG na całej długości stołu, bez metalowych szyn poprzecznych.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DC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D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D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E5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E0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E1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Stół wyposażony w system mocowania komponentów blatu w kształcie haków wyposażony w sensory rozpoznające zamontowany element i jego długość.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E2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E3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E4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EB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E6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E7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Obsługa funkcji stołu za pomocą pilota przewodowego.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E8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E9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EA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F1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EC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ED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 zapobiegający kolizjom segmentów z podłożem lub kolumną.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0EE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EF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F0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F7" w14:textId="77777777">
        <w:trPr>
          <w:cantSplit/>
          <w:trHeight w:val="41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2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3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Stolik do instrumentów chirurgicznych, 3 szt.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4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5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F6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0FD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8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9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Stolik typu MAYO do instrumentów chirurgicznych, 2 szt.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A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B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FC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103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E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0FF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Wózek medyczny to transportu akcesoriów i narzędzi, 1 szt.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0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1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02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109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4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5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Wyrób medyczny oznakowany znakiem CE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6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7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08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10F" w14:textId="77777777">
        <w:trPr>
          <w:cantSplit/>
          <w:trHeight w:val="417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A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B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Instrukcja obsługi w języku polskim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C" w14:textId="77777777" w:rsidR="002D66FC" w:rsidRDefault="00570CC6">
            <w:pPr>
              <w:pStyle w:val="Standard"/>
              <w:spacing w:before="57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0D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0E" w14:textId="77777777" w:rsidR="002D66FC" w:rsidRDefault="002D66FC">
            <w:pPr>
              <w:pStyle w:val="Standard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112" w14:textId="77777777">
        <w:trPr>
          <w:cantSplit/>
          <w:trHeight w:val="288"/>
        </w:trPr>
        <w:tc>
          <w:tcPr>
            <w:tcW w:w="8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10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gwarancji i serwisu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11" w14:textId="77777777" w:rsidR="002D66FC" w:rsidRDefault="002D66F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66FC" w14:paraId="0942B11E" w14:textId="77777777">
        <w:trPr>
          <w:cantSplit/>
          <w:trHeight w:val="27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19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1A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Autoryzowany serwis na terenie Polski.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1B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1C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1D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00C4" w14:paraId="0942B124" w14:textId="77777777" w:rsidTr="00B37538">
        <w:trPr>
          <w:cantSplit/>
          <w:trHeight w:val="5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1F" w14:textId="77777777" w:rsidR="004200C4" w:rsidRDefault="004200C4" w:rsidP="004200C4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20" w14:textId="64CD137E" w:rsidR="004200C4" w:rsidRPr="001F046F" w:rsidRDefault="004200C4" w:rsidP="004200C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6F">
              <w:rPr>
                <w:rFonts w:ascii="Times New Roman" w:hAnsi="Times New Roman" w:cs="Times New Roman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21" w14:textId="59FC3AF6" w:rsidR="004200C4" w:rsidRDefault="004200C4" w:rsidP="004200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22" w14:textId="77777777" w:rsidR="004200C4" w:rsidRDefault="004200C4" w:rsidP="004200C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23" w14:textId="77777777" w:rsidR="004200C4" w:rsidRDefault="004200C4" w:rsidP="004200C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00C4" w14:paraId="0942B12A" w14:textId="77777777" w:rsidTr="00B37538">
        <w:trPr>
          <w:cantSplit/>
          <w:trHeight w:val="34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25" w14:textId="77777777" w:rsidR="004200C4" w:rsidRDefault="004200C4" w:rsidP="004200C4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26" w14:textId="6732B347" w:rsidR="004200C4" w:rsidRPr="001F046F" w:rsidRDefault="004200C4" w:rsidP="004200C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6F">
              <w:rPr>
                <w:rFonts w:ascii="Times New Roman" w:hAnsi="Times New Roman" w:cs="Times New Roman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27" w14:textId="3F62DC39" w:rsidR="004200C4" w:rsidRDefault="00D912C5" w:rsidP="004200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28" w14:textId="77777777" w:rsidR="004200C4" w:rsidRDefault="004200C4" w:rsidP="004200C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29" w14:textId="77777777" w:rsidR="004200C4" w:rsidRDefault="004200C4" w:rsidP="004200C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00C4" w14:paraId="0942B130" w14:textId="77777777" w:rsidTr="00B37538">
        <w:trPr>
          <w:cantSplit/>
          <w:trHeight w:val="565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2B" w14:textId="77777777" w:rsidR="004200C4" w:rsidRDefault="004200C4" w:rsidP="004200C4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2C" w14:textId="764731F0" w:rsidR="004200C4" w:rsidRPr="001F046F" w:rsidRDefault="004200C4" w:rsidP="004200C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046F">
              <w:rPr>
                <w:rFonts w:ascii="Times New Roman" w:hAnsi="Times New Roman" w:cs="Times New Roman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2D" w14:textId="7AE30DDE" w:rsidR="004200C4" w:rsidRDefault="00D912C5" w:rsidP="004200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2E" w14:textId="77777777" w:rsidR="004200C4" w:rsidRDefault="004200C4" w:rsidP="004200C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2F" w14:textId="77777777" w:rsidR="004200C4" w:rsidRDefault="004200C4" w:rsidP="004200C4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136" w14:textId="77777777">
        <w:trPr>
          <w:cantSplit/>
          <w:trHeight w:val="253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31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32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Godziny i sposób przyjmowania zgłoszeń o awariach.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33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34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35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6FC" w14:paraId="0942B13C" w14:textId="77777777">
        <w:trPr>
          <w:cantSplit/>
          <w:trHeight w:val="849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37" w14:textId="77777777" w:rsidR="002D66FC" w:rsidRDefault="002D66FC">
            <w:pPr>
              <w:pStyle w:val="Standard"/>
              <w:numPr>
                <w:ilvl w:val="0"/>
                <w:numId w:val="22"/>
              </w:numPr>
              <w:spacing w:after="0" w:line="240" w:lineRule="auto"/>
              <w:ind w:left="0" w:right="-398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38" w14:textId="77777777" w:rsidR="002D66FC" w:rsidRDefault="00570CC6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Dostawca zobowiązany jest do wykonania obowiązkowych przeglądów technicznych w okresie obowiązywania gwarancji bez dodatkowej zapłaty, zgodnie z harmonogramem wymaganym przez producenta, ostatni z tych przeglądów w ostatnim miesiącu obowiązywania gwarancji.</w:t>
            </w:r>
          </w:p>
        </w:tc>
        <w:tc>
          <w:tcPr>
            <w:tcW w:w="25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2B139" w14:textId="77777777" w:rsidR="002D66FC" w:rsidRDefault="00570CC6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2B13A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13B" w14:textId="77777777" w:rsidR="002D66FC" w:rsidRDefault="002D66FC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942B13D" w14:textId="77777777" w:rsidR="002D66FC" w:rsidRDefault="002D66FC">
      <w:pPr>
        <w:pStyle w:val="Standard"/>
        <w:widowControl/>
        <w:spacing w:after="24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942B13E" w14:textId="77777777" w:rsidR="002D66FC" w:rsidRDefault="00570CC6">
      <w:pPr>
        <w:pStyle w:val="Standard"/>
        <w:spacing w:before="240" w:after="160" w:line="254" w:lineRule="auto"/>
        <w:ind w:right="117"/>
      </w:pPr>
      <w:r>
        <w:t xml:space="preserve">Parametry określone przez Zamawiającego w kolumnie „Parametr wymagany” słowem </w:t>
      </w:r>
      <w:r>
        <w:rPr>
          <w:b/>
          <w:bCs/>
        </w:rPr>
        <w:t>Tak</w:t>
      </w:r>
      <w:r>
        <w:t xml:space="preserve"> są bezwzględnie wymagane.</w:t>
      </w:r>
    </w:p>
    <w:p w14:paraId="0942B13F" w14:textId="77777777" w:rsidR="002D66FC" w:rsidRDefault="00570CC6">
      <w:pPr>
        <w:pStyle w:val="Standard"/>
        <w:spacing w:after="160" w:line="254" w:lineRule="auto"/>
        <w:ind w:right="117"/>
      </w:pPr>
      <w:r>
        <w:t xml:space="preserve">Parametry określone przez Zamawiającego w kolumnie „Parametr wymagany” słowem </w:t>
      </w:r>
      <w:r>
        <w:rPr>
          <w:b/>
          <w:bCs/>
        </w:rPr>
        <w:t>Tak,</w:t>
      </w:r>
      <w:r>
        <w:t xml:space="preserve">  </w:t>
      </w:r>
      <w:r>
        <w:rPr>
          <w:b/>
          <w:bCs/>
        </w:rPr>
        <w:t xml:space="preserve">podać </w:t>
      </w:r>
      <w:r>
        <w:t>są bezwzględnie wymagane i wymagają dodatkowego opisu.</w:t>
      </w:r>
    </w:p>
    <w:p w14:paraId="0942B140" w14:textId="77777777" w:rsidR="002D66FC" w:rsidRDefault="00570CC6">
      <w:pPr>
        <w:pStyle w:val="Standard"/>
      </w:pPr>
      <w:r>
        <w:rPr>
          <w:b/>
          <w:bCs/>
        </w:rPr>
        <w:t>Nie wypełnienie tabeli parametrów wymagalnych lub jej nie dołączenie do oferty spowoduje odrzucenie oferty.</w:t>
      </w:r>
    </w:p>
    <w:p w14:paraId="0942B141" w14:textId="77777777" w:rsidR="002D66FC" w:rsidRDefault="00570CC6">
      <w:pPr>
        <w:pStyle w:val="Standard"/>
        <w:tabs>
          <w:tab w:val="left" w:pos="708"/>
        </w:tabs>
      </w:pPr>
      <w: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942B142" w14:textId="77777777" w:rsidR="002D66FC" w:rsidRDefault="002D66FC">
      <w:pPr>
        <w:pStyle w:val="Standard"/>
        <w:spacing w:line="254" w:lineRule="auto"/>
      </w:pPr>
    </w:p>
    <w:p w14:paraId="0942B143" w14:textId="77777777" w:rsidR="002D66FC" w:rsidRDefault="00570CC6">
      <w:pPr>
        <w:pStyle w:val="Standard"/>
        <w:spacing w:line="254" w:lineRule="auto"/>
        <w:ind w:left="5760" w:firstLine="720"/>
      </w:pPr>
      <w:r>
        <w:t>……………………………………………………</w:t>
      </w:r>
    </w:p>
    <w:p w14:paraId="0942B144" w14:textId="13748DF0" w:rsidR="002D66FC" w:rsidRDefault="00570CC6">
      <w:pPr>
        <w:pStyle w:val="Standard"/>
        <w:ind w:left="4248" w:firstLine="708"/>
        <w:jc w:val="center"/>
      </w:pPr>
      <w:r>
        <w:t>Podpis osoby uprawnionej do reprezentowania</w:t>
      </w:r>
    </w:p>
    <w:p w14:paraId="0942B145" w14:textId="77777777" w:rsidR="002D66FC" w:rsidRDefault="002D66FC">
      <w:pPr>
        <w:pStyle w:val="Standard"/>
        <w:spacing w:after="0" w:line="240" w:lineRule="auto"/>
      </w:pPr>
    </w:p>
    <w:sectPr w:rsidR="002D66FC">
      <w:headerReference w:type="default" r:id="rId7"/>
      <w:footerReference w:type="default" r:id="rId8"/>
      <w:pgSz w:w="11906" w:h="16838"/>
      <w:pgMar w:top="567" w:right="701" w:bottom="454" w:left="851" w:header="289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902D" w14:textId="77777777" w:rsidR="001D410F" w:rsidRDefault="001D410F">
      <w:r>
        <w:separator/>
      </w:r>
    </w:p>
  </w:endnote>
  <w:endnote w:type="continuationSeparator" w:id="0">
    <w:p w14:paraId="691A7B00" w14:textId="77777777" w:rsidR="001D410F" w:rsidRDefault="001D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Linux Libertine G">
    <w:charset w:val="00"/>
    <w:family w:val="auto"/>
    <w:pitch w:val="variable"/>
  </w:font>
  <w:font w:name="Arial Unicode MS">
    <w:altName w:val="Yu Gothic"/>
    <w:panose1 w:val="020B06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 Calibri">
    <w:altName w:val="Arial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2AE22" w14:textId="77777777" w:rsidR="00570CC6" w:rsidRDefault="00570CC6">
    <w:pPr>
      <w:pStyle w:val="Standard"/>
      <w:widowControl/>
      <w:pBdr>
        <w:top w:val="single" w:sz="4" w:space="1" w:color="D9D9D9"/>
      </w:pBdr>
      <w:tabs>
        <w:tab w:val="center" w:pos="4536"/>
        <w:tab w:val="right" w:pos="9072"/>
      </w:tabs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  <w:r>
      <w:rPr>
        <w:b/>
        <w:bCs/>
        <w:color w:val="000000"/>
      </w:rPr>
      <w:t xml:space="preserve"> | </w:t>
    </w:r>
    <w:r>
      <w:rPr>
        <w:color w:val="7F7F7F"/>
      </w:rPr>
      <w:t>Strona</w:t>
    </w:r>
  </w:p>
  <w:p w14:paraId="0942AE23" w14:textId="77777777" w:rsidR="00570CC6" w:rsidRDefault="00570CC6">
    <w:pPr>
      <w:pStyle w:val="Standard"/>
      <w:widowControl/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036F7" w14:textId="77777777" w:rsidR="001D410F" w:rsidRDefault="001D410F">
      <w:r>
        <w:rPr>
          <w:color w:val="000000"/>
        </w:rPr>
        <w:separator/>
      </w:r>
    </w:p>
  </w:footnote>
  <w:footnote w:type="continuationSeparator" w:id="0">
    <w:p w14:paraId="794F4DF0" w14:textId="77777777" w:rsidR="001D410F" w:rsidRDefault="001D4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2AE20" w14:textId="77777777" w:rsidR="00570CC6" w:rsidRDefault="00570CC6">
    <w:pPr>
      <w:pStyle w:val="Standard"/>
      <w:widowControl/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0942AE18" wp14:editId="0942AE19">
          <wp:extent cx="6803958" cy="883767"/>
          <wp:effectExtent l="0" t="0" r="0" b="0"/>
          <wp:docPr id="5386241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3958" cy="88376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4A3"/>
    <w:multiLevelType w:val="multilevel"/>
    <w:tmpl w:val="DABA9C14"/>
    <w:styleLink w:val="WWNum7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384C69"/>
    <w:multiLevelType w:val="multilevel"/>
    <w:tmpl w:val="44E6ADF0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0D8733A"/>
    <w:multiLevelType w:val="multilevel"/>
    <w:tmpl w:val="795897C8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07DDC"/>
    <w:multiLevelType w:val="multilevel"/>
    <w:tmpl w:val="7642454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5543"/>
    <w:multiLevelType w:val="multilevel"/>
    <w:tmpl w:val="46549492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B5370"/>
    <w:multiLevelType w:val="multilevel"/>
    <w:tmpl w:val="5578563E"/>
    <w:styleLink w:val="WWNum1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4F6594"/>
    <w:multiLevelType w:val="multilevel"/>
    <w:tmpl w:val="68ACF006"/>
    <w:styleLink w:val="WWNum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76536"/>
    <w:multiLevelType w:val="multilevel"/>
    <w:tmpl w:val="12E8B1BA"/>
    <w:styleLink w:val="WWNum9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8CB2F2F"/>
    <w:multiLevelType w:val="multilevel"/>
    <w:tmpl w:val="C106984C"/>
    <w:styleLink w:val="WWNum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A680B"/>
    <w:multiLevelType w:val="multilevel"/>
    <w:tmpl w:val="8F669DF4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61E31"/>
    <w:multiLevelType w:val="multilevel"/>
    <w:tmpl w:val="F7F407B4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F7D51"/>
    <w:multiLevelType w:val="multilevel"/>
    <w:tmpl w:val="D7022866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25570"/>
    <w:multiLevelType w:val="multilevel"/>
    <w:tmpl w:val="BEAA261A"/>
    <w:styleLink w:val="WWNum1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16A3064"/>
    <w:multiLevelType w:val="multilevel"/>
    <w:tmpl w:val="4DFAD42A"/>
    <w:styleLink w:val="WWNum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412277"/>
    <w:multiLevelType w:val="multilevel"/>
    <w:tmpl w:val="C2248CAC"/>
    <w:styleLink w:val="WWNum11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5C12EB8"/>
    <w:multiLevelType w:val="multilevel"/>
    <w:tmpl w:val="26F620C0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806A1"/>
    <w:multiLevelType w:val="multilevel"/>
    <w:tmpl w:val="0048457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B526C"/>
    <w:multiLevelType w:val="multilevel"/>
    <w:tmpl w:val="A60237FA"/>
    <w:styleLink w:val="WWNum22"/>
    <w:lvl w:ilvl="0">
      <w:start w:val="1"/>
      <w:numFmt w:val="decimal"/>
      <w:lvlText w:val="%1."/>
      <w:lvlJc w:val="left"/>
      <w:pPr>
        <w:ind w:left="851" w:hanging="284"/>
      </w:pPr>
      <w:rPr>
        <w:rFonts w:ascii="Times New Roman" w:hAnsi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8" w15:restartNumberingAfterBreak="0">
    <w:nsid w:val="54AB79F9"/>
    <w:multiLevelType w:val="multilevel"/>
    <w:tmpl w:val="1040EDBC"/>
    <w:styleLink w:val="WW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120BB5"/>
    <w:multiLevelType w:val="multilevel"/>
    <w:tmpl w:val="8CF87CFA"/>
    <w:styleLink w:val="Sty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57CF57AE"/>
    <w:multiLevelType w:val="multilevel"/>
    <w:tmpl w:val="CA42EA8C"/>
    <w:styleLink w:val="WWNum19"/>
    <w:lvl w:ilvl="0">
      <w:start w:val="1"/>
      <w:numFmt w:val="decimal"/>
      <w:lvlText w:val="%1."/>
      <w:lvlJc w:val="left"/>
      <w:pPr>
        <w:ind w:left="851" w:hanging="284"/>
      </w:pPr>
      <w:rPr>
        <w:rFonts w:ascii="Times New Roman" w:hAnsi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5C742B3B"/>
    <w:multiLevelType w:val="multilevel"/>
    <w:tmpl w:val="7778CF48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1C2EB8"/>
    <w:multiLevelType w:val="multilevel"/>
    <w:tmpl w:val="2E9C7FCC"/>
    <w:styleLink w:val="Bezlisty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3" w15:restartNumberingAfterBreak="0">
    <w:nsid w:val="6B573F05"/>
    <w:multiLevelType w:val="multilevel"/>
    <w:tmpl w:val="E46CA73C"/>
    <w:styleLink w:val="WWNum1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CAF3906"/>
    <w:multiLevelType w:val="multilevel"/>
    <w:tmpl w:val="99DC041A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40113713">
    <w:abstractNumId w:val="22"/>
  </w:num>
  <w:num w:numId="2" w16cid:durableId="957906567">
    <w:abstractNumId w:val="1"/>
  </w:num>
  <w:num w:numId="3" w16cid:durableId="2001500916">
    <w:abstractNumId w:val="19"/>
  </w:num>
  <w:num w:numId="4" w16cid:durableId="153495039">
    <w:abstractNumId w:val="5"/>
  </w:num>
  <w:num w:numId="5" w16cid:durableId="1012219754">
    <w:abstractNumId w:val="21"/>
  </w:num>
  <w:num w:numId="6" w16cid:durableId="699941549">
    <w:abstractNumId w:val="2"/>
  </w:num>
  <w:num w:numId="7" w16cid:durableId="325673358">
    <w:abstractNumId w:val="11"/>
  </w:num>
  <w:num w:numId="8" w16cid:durableId="1064064409">
    <w:abstractNumId w:val="16"/>
  </w:num>
  <w:num w:numId="9" w16cid:durableId="1765951452">
    <w:abstractNumId w:val="6"/>
  </w:num>
  <w:num w:numId="10" w16cid:durableId="365525347">
    <w:abstractNumId w:val="0"/>
  </w:num>
  <w:num w:numId="11" w16cid:durableId="1773164066">
    <w:abstractNumId w:val="10"/>
  </w:num>
  <w:num w:numId="12" w16cid:durableId="1497064670">
    <w:abstractNumId w:val="7"/>
  </w:num>
  <w:num w:numId="13" w16cid:durableId="239365205">
    <w:abstractNumId w:val="23"/>
  </w:num>
  <w:num w:numId="14" w16cid:durableId="211964764">
    <w:abstractNumId w:val="14"/>
  </w:num>
  <w:num w:numId="15" w16cid:durableId="543180108">
    <w:abstractNumId w:val="12"/>
  </w:num>
  <w:num w:numId="16" w16cid:durableId="408426057">
    <w:abstractNumId w:val="9"/>
  </w:num>
  <w:num w:numId="17" w16cid:durableId="641740722">
    <w:abstractNumId w:val="3"/>
  </w:num>
  <w:num w:numId="18" w16cid:durableId="1455172765">
    <w:abstractNumId w:val="24"/>
  </w:num>
  <w:num w:numId="19" w16cid:durableId="1943994521">
    <w:abstractNumId w:val="15"/>
  </w:num>
  <w:num w:numId="20" w16cid:durableId="476187305">
    <w:abstractNumId w:val="4"/>
  </w:num>
  <w:num w:numId="21" w16cid:durableId="264655906">
    <w:abstractNumId w:val="8"/>
  </w:num>
  <w:num w:numId="22" w16cid:durableId="1635482977">
    <w:abstractNumId w:val="20"/>
  </w:num>
  <w:num w:numId="23" w16cid:durableId="2047562872">
    <w:abstractNumId w:val="13"/>
  </w:num>
  <w:num w:numId="24" w16cid:durableId="2007052216">
    <w:abstractNumId w:val="18"/>
  </w:num>
  <w:num w:numId="25" w16cid:durableId="2027441030">
    <w:abstractNumId w:val="17"/>
  </w:num>
  <w:num w:numId="26" w16cid:durableId="965546051">
    <w:abstractNumId w:val="13"/>
    <w:lvlOverride w:ilvl="0">
      <w:startOverride w:val="1"/>
    </w:lvlOverride>
  </w:num>
  <w:num w:numId="27" w16cid:durableId="917204929">
    <w:abstractNumId w:val="18"/>
    <w:lvlOverride w:ilvl="0">
      <w:startOverride w:val="1"/>
    </w:lvlOverride>
  </w:num>
  <w:num w:numId="28" w16cid:durableId="2009822097">
    <w:abstractNumId w:val="17"/>
    <w:lvlOverride w:ilvl="0">
      <w:startOverride w:val="1"/>
    </w:lvlOverride>
  </w:num>
  <w:num w:numId="29" w16cid:durableId="2046323033">
    <w:abstractNumId w:val="14"/>
  </w:num>
  <w:num w:numId="30" w16cid:durableId="101655949">
    <w:abstractNumId w:val="12"/>
  </w:num>
  <w:num w:numId="31" w16cid:durableId="1683044963">
    <w:abstractNumId w:val="5"/>
  </w:num>
  <w:num w:numId="32" w16cid:durableId="367802781">
    <w:abstractNumId w:val="9"/>
    <w:lvlOverride w:ilvl="0">
      <w:startOverride w:val="1"/>
    </w:lvlOverride>
  </w:num>
  <w:num w:numId="33" w16cid:durableId="1952469687">
    <w:abstractNumId w:val="3"/>
    <w:lvlOverride w:ilvl="0">
      <w:startOverride w:val="1"/>
    </w:lvlOverride>
  </w:num>
  <w:num w:numId="34" w16cid:durableId="28142041">
    <w:abstractNumId w:val="24"/>
    <w:lvlOverride w:ilvl="0">
      <w:startOverride w:val="1"/>
    </w:lvlOverride>
  </w:num>
  <w:num w:numId="35" w16cid:durableId="1885946154">
    <w:abstractNumId w:val="15"/>
    <w:lvlOverride w:ilvl="0">
      <w:startOverride w:val="1"/>
    </w:lvlOverride>
  </w:num>
  <w:num w:numId="36" w16cid:durableId="1009603325">
    <w:abstractNumId w:val="4"/>
    <w:lvlOverride w:ilvl="0">
      <w:startOverride w:val="1"/>
    </w:lvlOverride>
  </w:num>
  <w:num w:numId="37" w16cid:durableId="1843887380">
    <w:abstractNumId w:val="8"/>
    <w:lvlOverride w:ilvl="0">
      <w:startOverride w:val="1"/>
    </w:lvlOverride>
  </w:num>
  <w:num w:numId="38" w16cid:durableId="2083719657">
    <w:abstractNumId w:val="21"/>
    <w:lvlOverride w:ilvl="0">
      <w:startOverride w:val="1"/>
    </w:lvlOverride>
  </w:num>
  <w:num w:numId="39" w16cid:durableId="1482649865">
    <w:abstractNumId w:val="2"/>
    <w:lvlOverride w:ilvl="0">
      <w:startOverride w:val="1"/>
    </w:lvlOverride>
  </w:num>
  <w:num w:numId="40" w16cid:durableId="1294946874">
    <w:abstractNumId w:val="11"/>
    <w:lvlOverride w:ilvl="0">
      <w:startOverride w:val="1"/>
    </w:lvlOverride>
  </w:num>
  <w:num w:numId="41" w16cid:durableId="1166625754">
    <w:abstractNumId w:val="16"/>
    <w:lvlOverride w:ilvl="0">
      <w:startOverride w:val="1"/>
    </w:lvlOverride>
  </w:num>
  <w:num w:numId="42" w16cid:durableId="2069912625">
    <w:abstractNumId w:val="6"/>
    <w:lvlOverride w:ilvl="0">
      <w:startOverride w:val="1"/>
    </w:lvlOverride>
  </w:num>
  <w:num w:numId="43" w16cid:durableId="584192052">
    <w:abstractNumId w:val="0"/>
  </w:num>
  <w:num w:numId="44" w16cid:durableId="1733310536">
    <w:abstractNumId w:val="10"/>
    <w:lvlOverride w:ilvl="0">
      <w:startOverride w:val="1"/>
    </w:lvlOverride>
  </w:num>
  <w:num w:numId="45" w16cid:durableId="1975864542">
    <w:abstractNumId w:val="23"/>
  </w:num>
  <w:num w:numId="46" w16cid:durableId="1132746234">
    <w:abstractNumId w:val="7"/>
  </w:num>
  <w:num w:numId="47" w16cid:durableId="443303388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6FC"/>
    <w:rsid w:val="001D410F"/>
    <w:rsid w:val="001F046F"/>
    <w:rsid w:val="0024768C"/>
    <w:rsid w:val="002D66FC"/>
    <w:rsid w:val="004200C4"/>
    <w:rsid w:val="00567174"/>
    <w:rsid w:val="00570CC6"/>
    <w:rsid w:val="006144D5"/>
    <w:rsid w:val="00701529"/>
    <w:rsid w:val="007F017C"/>
    <w:rsid w:val="007F6195"/>
    <w:rsid w:val="00821F73"/>
    <w:rsid w:val="0094791D"/>
    <w:rsid w:val="009672C4"/>
    <w:rsid w:val="00990129"/>
    <w:rsid w:val="00A02ADE"/>
    <w:rsid w:val="00D912C5"/>
    <w:rsid w:val="00F02A38"/>
    <w:rsid w:val="00F3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2AE18"/>
  <w15:docId w15:val="{B7D16820-BE3C-4B8E-A40C-A032AB7E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/>
    </w:pPr>
  </w:style>
  <w:style w:type="paragraph" w:styleId="Nagwek1">
    <w:name w:val="heading 1"/>
    <w:basedOn w:val="Normalny"/>
    <w:next w:val="Standard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6091"/>
      <w:sz w:val="28"/>
      <w:szCs w:val="28"/>
    </w:rPr>
  </w:style>
  <w:style w:type="paragraph" w:styleId="Nagwek2">
    <w:name w:val="heading 2"/>
    <w:basedOn w:val="Normalny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Standard"/>
    <w:uiPriority w:val="9"/>
    <w:semiHidden/>
    <w:unhideWhenUsed/>
    <w:qFormat/>
    <w:pPr>
      <w:keepNext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Standard"/>
    <w:uiPriority w:val="9"/>
    <w:semiHidden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Standard"/>
    <w:uiPriority w:val="9"/>
    <w:semiHidden/>
    <w:unhideWhenUsed/>
    <w:qFormat/>
    <w:pPr>
      <w:keepNext/>
      <w:keepLines/>
      <w:spacing w:before="40"/>
      <w:outlineLvl w:val="4"/>
    </w:pPr>
    <w:rPr>
      <w:rFonts w:ascii="Cambria" w:eastAsia="Cambria" w:hAnsi="Cambria" w:cs="Cambria"/>
      <w:color w:val="366091"/>
    </w:rPr>
  </w:style>
  <w:style w:type="paragraph" w:styleId="Nagwek6">
    <w:name w:val="heading 6"/>
    <w:basedOn w:val="Normalny"/>
    <w:next w:val="Standard"/>
    <w:uiPriority w:val="9"/>
    <w:semiHidden/>
    <w:unhideWhenUsed/>
    <w:qFormat/>
    <w:pPr>
      <w:spacing w:before="240" w:after="60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Heading"/>
    <w:pPr>
      <w:keepLines/>
      <w:spacing w:before="200" w:after="0"/>
      <w:outlineLvl w:val="6"/>
    </w:pPr>
    <w:rPr>
      <w:rFonts w:ascii="Cambria" w:eastAsia="F" w:hAnsi="Cambria" w:cs="F"/>
      <w:i/>
      <w:iCs/>
      <w:color w:val="404040"/>
    </w:rPr>
  </w:style>
  <w:style w:type="paragraph" w:styleId="Nagwek8">
    <w:name w:val="heading 8"/>
    <w:basedOn w:val="Heading"/>
    <w:pPr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Heading"/>
    <w:pPr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pPr>
      <w:spacing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hi-IN"/>
    </w:rPr>
  </w:style>
  <w:style w:type="paragraph" w:styleId="Legenda">
    <w:name w:val="caption"/>
    <w:pPr>
      <w:shd w:val="clear" w:color="auto" w:fill="FFFFFF"/>
      <w:tabs>
        <w:tab w:val="left" w:pos="638"/>
      </w:tabs>
      <w:spacing w:after="60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uiPriority w:val="10"/>
    <w:qFormat/>
    <w:pPr>
      <w:pBdr>
        <w:bottom w:val="single" w:sz="8" w:space="4" w:color="2DA2BF"/>
      </w:pBdr>
      <w:spacing w:after="300"/>
    </w:pPr>
    <w:rPr>
      <w:rFonts w:ascii="Cambria" w:eastAsia="Cambria" w:hAnsi="Cambria" w:cs="Cambria"/>
      <w:color w:val="343434"/>
      <w:sz w:val="52"/>
      <w:szCs w:val="52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Bezodstpw">
    <w:name w:val="No Spacing"/>
    <w:pPr>
      <w:widowControl/>
    </w:pPr>
  </w:style>
  <w:style w:type="paragraph" w:customStyle="1" w:styleId="Standarduser">
    <w:name w:val="Standard (user)"/>
    <w:rPr>
      <w:rFonts w:ascii="Times New Roman" w:eastAsia="Arial Unicode MS" w:hAnsi="Times New Roman" w:cs="Tahoma"/>
      <w:kern w:val="3"/>
      <w:sz w:val="24"/>
      <w:szCs w:val="24"/>
    </w:rPr>
  </w:style>
  <w:style w:type="paragraph" w:customStyle="1" w:styleId="Teksttreci">
    <w:name w:val="Tekst treści"/>
    <w:pPr>
      <w:shd w:val="clear" w:color="auto" w:fill="FFFFFF"/>
      <w:spacing w:line="240" w:lineRule="exact"/>
      <w:ind w:hanging="800"/>
      <w:jc w:val="center"/>
    </w:pPr>
    <w:rPr>
      <w:rFonts w:ascii="Verdana" w:eastAsia="Verdana" w:hAnsi="Verdana" w:cs="Verdana"/>
      <w:sz w:val="20"/>
      <w:szCs w:val="20"/>
    </w:rPr>
  </w:style>
  <w:style w:type="paragraph" w:styleId="Tekstkomentarza">
    <w:name w:val="annotation text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rPr>
      <w:rFonts w:ascii="Tahoma" w:eastAsia="Tahoma" w:hAnsi="Tahoma" w:cs="Tahoma"/>
      <w:sz w:val="16"/>
      <w:szCs w:val="16"/>
    </w:rPr>
  </w:style>
  <w:style w:type="paragraph" w:styleId="Akapitzlist">
    <w:name w:val="List Paragraph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ODNONIKtreodnonika">
    <w:name w:val="ODNOŚNIK – treść odnośnika"/>
    <w:pPr>
      <w:widowControl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paragraph" w:customStyle="1" w:styleId="Default">
    <w:name w:val="Default"/>
    <w:pPr>
      <w:widowControl/>
    </w:pPr>
    <w:rPr>
      <w:color w:val="000000"/>
      <w:sz w:val="24"/>
      <w:szCs w:val="24"/>
    </w:rPr>
  </w:style>
  <w:style w:type="paragraph" w:customStyle="1" w:styleId="Akapitzlist1">
    <w:name w:val="Akapit z listą1"/>
    <w:pPr>
      <w:ind w:left="720"/>
    </w:pPr>
    <w:rPr>
      <w:rFonts w:eastAsia="Times New Roman" w:cs="Times New Roman"/>
      <w:lang w:eastAsia="ar-SA"/>
    </w:rPr>
  </w:style>
  <w:style w:type="paragraph" w:customStyle="1" w:styleId="Footnote">
    <w:name w:val="Footnote"/>
    <w:basedOn w:val="Standard"/>
    <w:pPr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paragraph" w:styleId="Tekstpodstawowy3">
    <w:name w:val="Body Text 3"/>
    <w:pPr>
      <w:tabs>
        <w:tab w:val="left" w:pos="426"/>
        <w:tab w:val="left" w:pos="850"/>
      </w:tabs>
      <w:snapToGrid w:val="0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paragraph" w:styleId="Tekstpodstawowywcity3">
    <w:name w:val="Body Text Indent 3"/>
    <w:pPr>
      <w:spacing w:after="120"/>
      <w:ind w:left="283"/>
    </w:pPr>
    <w:rPr>
      <w:sz w:val="16"/>
      <w:szCs w:val="16"/>
    </w:rPr>
  </w:style>
  <w:style w:type="paragraph" w:styleId="Tekstblokowy">
    <w:name w:val="Block Text"/>
    <w:pPr>
      <w:shd w:val="clear" w:color="auto" w:fill="FFFFFF"/>
      <w:spacing w:before="91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customStyle="1" w:styleId="Textbodyindent">
    <w:name w:val="Text body indent"/>
    <w:basedOn w:val="Textbody"/>
    <w:pPr>
      <w:ind w:left="283"/>
    </w:pPr>
  </w:style>
  <w:style w:type="paragraph" w:styleId="Tekstpodstawowy2">
    <w:name w:val="Body Text 2"/>
    <w:pPr>
      <w:spacing w:after="120" w:line="480" w:lineRule="auto"/>
    </w:pPr>
  </w:style>
  <w:style w:type="paragraph" w:customStyle="1" w:styleId="NormalBold">
    <w:name w:val="NormalBold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pPr>
      <w:spacing w:before="120" w:after="120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pPr>
      <w:spacing w:before="120" w:after="120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pPr>
      <w:spacing w:before="120" w:after="12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pPr>
      <w:keepNext/>
      <w:spacing w:before="120" w:after="360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pPr>
      <w:keepNext/>
      <w:spacing w:before="120" w:after="360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pPr>
      <w:spacing w:before="120" w:after="120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paragraph" w:styleId="Poprawka">
    <w:name w:val="Revision"/>
    <w:pPr>
      <w:widowControl/>
    </w:pPr>
  </w:style>
  <w:style w:type="paragraph" w:customStyle="1" w:styleId="WW-Tekstpodstawowywcity3">
    <w:name w:val="WW-Tekst podstawowy wcięty 3"/>
    <w:pPr>
      <w:spacing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pPr>
      <w:spacing w:line="36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omyolnie">
    <w:name w:val="Domyolnie"/>
    <w:pPr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pPr>
      <w:ind w:firstLine="708"/>
    </w:pPr>
    <w:rPr>
      <w:rFonts w:ascii="Times New Roman" w:eastAsia="Times New Roman" w:hAnsi="Times New Roman" w:cs="Times New Roman"/>
      <w:lang w:eastAsia="ar-SA"/>
    </w:rPr>
  </w:style>
  <w:style w:type="paragraph" w:customStyle="1" w:styleId="Podpis1">
    <w:name w:val="Podpis1"/>
    <w:pPr>
      <w:suppressLineNumbers/>
      <w:spacing w:before="120" w:after="120"/>
    </w:pPr>
    <w:rPr>
      <w:rFonts w:ascii="Times New Roman" w:eastAsia="Arial Unicode MS" w:hAnsi="Times New Roman" w:cs="Arial Unicode MS"/>
      <w:i/>
      <w:iCs/>
      <w:kern w:val="3"/>
      <w:sz w:val="24"/>
      <w:szCs w:val="24"/>
      <w:lang w:eastAsia="hi-IN"/>
    </w:rPr>
  </w:style>
  <w:style w:type="paragraph" w:customStyle="1" w:styleId="Indeks">
    <w:name w:val="Indeks"/>
    <w:pPr>
      <w:suppressLineNumbers/>
    </w:pPr>
    <w:rPr>
      <w:rFonts w:ascii="Times New Roman" w:eastAsia="Arial Unicode MS" w:hAnsi="Times New Roman" w:cs="Arial Unicode MS"/>
      <w:kern w:val="3"/>
      <w:sz w:val="24"/>
      <w:szCs w:val="24"/>
      <w:lang w:eastAsia="hi-IN"/>
    </w:rPr>
  </w:style>
  <w:style w:type="paragraph" w:customStyle="1" w:styleId="Nagwek10">
    <w:name w:val="Nagłówek1"/>
    <w:pPr>
      <w:keepNext/>
      <w:spacing w:before="240" w:after="120"/>
    </w:pPr>
    <w:rPr>
      <w:rFonts w:ascii="Arial" w:eastAsia="Arial Unicode MS" w:hAnsi="Arial" w:cs="Arial Unicode MS"/>
      <w:kern w:val="3"/>
      <w:sz w:val="28"/>
      <w:szCs w:val="28"/>
      <w:lang w:eastAsia="hi-IN"/>
    </w:rPr>
  </w:style>
  <w:style w:type="paragraph" w:customStyle="1" w:styleId="Zawartotabeli">
    <w:name w:val="Zawartość tabeli"/>
    <w:pPr>
      <w:suppressLineNumbers/>
    </w:pPr>
    <w:rPr>
      <w:rFonts w:ascii="Times New Roman" w:eastAsia="Arial Unicode MS" w:hAnsi="Times New Roman" w:cs="Arial Unicode MS"/>
      <w:kern w:val="3"/>
      <w:sz w:val="24"/>
      <w:szCs w:val="24"/>
      <w:lang w:eastAsia="hi-I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owyStandardowy1">
    <w:name w:val="Standardowy.Standardowy1"/>
    <w:pPr>
      <w:widowControl/>
      <w:spacing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pPr>
      <w:spacing w:line="360" w:lineRule="atLeast"/>
      <w:ind w:left="709"/>
      <w:jc w:val="both"/>
    </w:pPr>
    <w:rPr>
      <w:sz w:val="24"/>
    </w:rPr>
  </w:style>
  <w:style w:type="paragraph" w:styleId="NormalnyWeb">
    <w:name w:val="Normal (Web)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styleId="Listapunktowana">
    <w:name w:val="List Bullet"/>
    <w:pPr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pPr>
      <w:spacing w:before="120" w:after="20"/>
    </w:pPr>
    <w:rPr>
      <w:rFonts w:ascii="Book Antiqua" w:eastAsia="Book Antiqua" w:hAnsi="Book Antiqua" w:cs="Book Antiqua"/>
      <w:b/>
      <w:lang w:val="en-GB"/>
    </w:rPr>
  </w:style>
  <w:style w:type="paragraph" w:customStyle="1" w:styleId="Tekstkomentarza1">
    <w:name w:val="Tekst komentarza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ont5">
    <w:name w:val="font5"/>
    <w:pP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Tekstpodstawowy21">
    <w:name w:val="Tekst podstawowy 21"/>
    <w:pPr>
      <w:spacing w:line="278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autoRedefine/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pPr>
      <w:jc w:val="both"/>
    </w:pPr>
    <w:rPr>
      <w:rFonts w:ascii="Times New Roman" w:eastAsia="Times New Roman" w:hAnsi="Times New Roman" w:cs="Times New Roman"/>
      <w:szCs w:val="20"/>
    </w:rPr>
  </w:style>
  <w:style w:type="paragraph" w:styleId="Mapadokumentu">
    <w:name w:val="Document Map"/>
    <w:rPr>
      <w:rFonts w:ascii="Tahoma" w:eastAsia="Times New Roman" w:hAnsi="Tahoma" w:cs="Tahoma"/>
      <w:sz w:val="16"/>
      <w:szCs w:val="16"/>
    </w:rPr>
  </w:style>
  <w:style w:type="paragraph" w:customStyle="1" w:styleId="Skrconyadreszwrotny">
    <w:name w:val="Skrócony adres zwrotny"/>
    <w:rPr>
      <w:rFonts w:ascii="Times New Roman" w:eastAsia="Times New Roman" w:hAnsi="Times New Roman" w:cs="Times New Roman"/>
      <w:sz w:val="24"/>
      <w:szCs w:val="20"/>
    </w:rPr>
  </w:style>
  <w:style w:type="paragraph" w:customStyle="1" w:styleId="Wcicietekstu">
    <w:name w:val="Wcięcie tekstu"/>
    <w:pPr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pP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pPr>
      <w:spacing w:before="280" w:after="280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pPr>
      <w:spacing w:before="280" w:after="280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pPr>
      <w:spacing w:before="280" w:after="280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pP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pP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pPr>
      <w:spacing w:before="280" w:after="280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pP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pP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pPr>
      <w:spacing w:before="280" w:after="280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pP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pPr>
      <w:spacing w:before="280" w:after="280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pPr>
      <w:spacing w:before="280" w:after="280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pPr>
      <w:spacing w:before="280" w:after="280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pPr>
      <w:spacing w:line="21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pPr>
      <w:spacing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Lista-kontynuacja2">
    <w:name w:val="List Continue 2"/>
    <w:basedOn w:val="Lista-kontynuacja"/>
    <w:pPr>
      <w:spacing w:after="160"/>
      <w:ind w:left="1080" w:hanging="360"/>
    </w:pPr>
  </w:style>
  <w:style w:type="paragraph" w:styleId="Lista-kontynuacja">
    <w:name w:val="List Continue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user">
    <w:name w:val="Text body (user)"/>
    <w:basedOn w:val="Standarduser"/>
    <w:pPr>
      <w:spacing w:after="120"/>
    </w:pPr>
    <w:rPr>
      <w:rFonts w:eastAsia="SimSun" w:cs="Mangal"/>
    </w:rPr>
  </w:style>
  <w:style w:type="paragraph" w:customStyle="1" w:styleId="Pa1">
    <w:name w:val="Pa1"/>
    <w:pPr>
      <w:spacing w:line="241" w:lineRule="atLeast"/>
    </w:pPr>
    <w:rPr>
      <w:rFonts w:ascii="Times New Roman" w:eastAsia="SimSun" w:hAnsi="Times New Roman" w:cs="Mangal"/>
      <w:kern w:val="3"/>
      <w:sz w:val="24"/>
      <w:szCs w:val="24"/>
    </w:rPr>
  </w:style>
  <w:style w:type="paragraph" w:customStyle="1" w:styleId="NormalTable1">
    <w:name w:val="Normal Table1"/>
    <w:rPr>
      <w:rFonts w:ascii="Times New Roman" w:eastAsia="Times New Roman" w:hAnsi="Times New Roman" w:cs="Mangal"/>
      <w:kern w:val="3"/>
      <w:sz w:val="24"/>
      <w:szCs w:val="24"/>
    </w:rPr>
  </w:style>
  <w:style w:type="paragraph" w:styleId="Adreszwrotnynakopercie">
    <w:name w:val="envelope return"/>
    <w:rPr>
      <w:rFonts w:ascii="Arial" w:eastAsia="Times New Roman" w:hAnsi="Arial" w:cs="Arial"/>
      <w:kern w:val="3"/>
      <w:sz w:val="24"/>
      <w:szCs w:val="24"/>
      <w:lang w:eastAsia="ar-SA"/>
    </w:rPr>
  </w:style>
  <w:style w:type="paragraph" w:customStyle="1" w:styleId="Zwykytekst1">
    <w:name w:val="Zwykły tekst1"/>
    <w:rPr>
      <w:rFonts w:ascii="Consolas" w:eastAsia="Times New Roman" w:hAnsi="Consolas" w:cs="Consolas"/>
      <w:sz w:val="21"/>
      <w:szCs w:val="21"/>
      <w:lang w:eastAsia="ar-SA"/>
    </w:rPr>
  </w:style>
  <w:style w:type="paragraph" w:customStyle="1" w:styleId="Tekstpodstawowy22">
    <w:name w:val="Tekst podstawowy 22"/>
    <w:pPr>
      <w:jc w:val="both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pPr>
      <w:ind w:left="720"/>
    </w:pPr>
    <w:rPr>
      <w:rFonts w:eastAsia="Times New Roman" w:cs="Times New Roman"/>
      <w:lang w:eastAsia="en-US"/>
    </w:rPr>
  </w:style>
  <w:style w:type="paragraph" w:styleId="Zwykytekst">
    <w:name w:val="Plain Text"/>
    <w:rPr>
      <w:rFonts w:ascii="Courier New" w:eastAsia="Times New Roman" w:hAnsi="Courier New" w:cs="Century Gothic"/>
      <w:kern w:val="3"/>
      <w:sz w:val="20"/>
      <w:szCs w:val="24"/>
    </w:rPr>
  </w:style>
  <w:style w:type="paragraph" w:customStyle="1" w:styleId="Gwkaistopka">
    <w:name w:val="Główka i stopka"/>
    <w:pPr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Podtytu">
    <w:name w:val="Subtitle"/>
    <w:basedOn w:val="Normalny"/>
    <w:next w:val="Standard"/>
    <w:uiPriority w:val="1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rPr>
      <w:rFonts w:ascii="Cambria" w:eastAsia="F" w:hAnsi="Cambria" w:cs="F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rPr>
      <w:rFonts w:ascii="Cambria" w:eastAsia="F" w:hAnsi="Cambria" w:cs="F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rPr>
      <w:rFonts w:ascii="Cambria" w:eastAsia="F" w:hAnsi="Cambria" w:cs="F"/>
      <w:color w:val="365F91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rPr>
      <w:rFonts w:ascii="Cambria" w:eastAsia="F" w:hAnsi="Cambria" w:cs="F"/>
      <w:i/>
      <w:iCs/>
      <w:color w:val="404040"/>
    </w:rPr>
  </w:style>
  <w:style w:type="character" w:customStyle="1" w:styleId="Nagwek8Znak">
    <w:name w:val="Nagłówek 8 Znak"/>
    <w:basedOn w:val="Domylnaczcionkaakapitu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NagwekZnak">
    <w:name w:val="Nagłówek Znak"/>
    <w:basedOn w:val="Domylnaczcionkaakapitu"/>
    <w:rPr>
      <w:rFonts w:cs="Times New Roman"/>
    </w:rPr>
  </w:style>
  <w:style w:type="character" w:customStyle="1" w:styleId="StopkaZnak">
    <w:name w:val="Stopka Znak"/>
    <w:basedOn w:val="Domylnaczcionkaakapitu"/>
    <w:rPr>
      <w:rFonts w:cs="Times New Roman"/>
    </w:rPr>
  </w:style>
  <w:style w:type="character" w:customStyle="1" w:styleId="Teksttreci0">
    <w:name w:val="Tekst treści_"/>
    <w:rPr>
      <w:rFonts w:ascii="Verdana" w:eastAsia="Verdana" w:hAnsi="Verdana" w:cs="Verdana"/>
      <w:sz w:val="20"/>
      <w:shd w:val="clear" w:color="auto" w:fill="FFFFFF"/>
    </w:rPr>
  </w:style>
  <w:style w:type="character" w:customStyle="1" w:styleId="Internetlink">
    <w:name w:val="Internet link"/>
    <w:basedOn w:val="Domylnaczcionkaakapitu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eastAsia="Tahoma" w:hAnsi="Tahoma" w:cs="Tahoma"/>
      <w:sz w:val="16"/>
      <w:szCs w:val="16"/>
    </w:rPr>
  </w:style>
  <w:style w:type="character" w:customStyle="1" w:styleId="text2">
    <w:name w:val="text2"/>
    <w:basedOn w:val="Domylnaczcionkaakapitu"/>
    <w:rPr>
      <w:rFonts w:cs="Times New Roman"/>
    </w:rPr>
  </w:style>
  <w:style w:type="character" w:customStyle="1" w:styleId="TytuZnak">
    <w:name w:val="Tytuł Znak"/>
    <w:basedOn w:val="Domylnaczcionkaakapitu"/>
    <w:rPr>
      <w:rFonts w:ascii="Cambria" w:eastAsia="Times New Roman" w:hAnsi="Cambria" w:cs="Cambria"/>
      <w:color w:val="343434"/>
      <w:spacing w:val="5"/>
      <w:kern w:val="3"/>
      <w:sz w:val="52"/>
      <w:szCs w:val="52"/>
    </w:rPr>
  </w:style>
  <w:style w:type="character" w:styleId="HTML-cytat">
    <w:name w:val="HTML Cite"/>
    <w:basedOn w:val="Domylnaczcionkaakapitu"/>
    <w:rPr>
      <w:i w:val="0"/>
      <w:iCs w:val="0"/>
      <w:color w:val="006621"/>
    </w:rPr>
  </w:style>
  <w:style w:type="character" w:customStyle="1" w:styleId="TekstprzypisukocowegoZnak">
    <w:name w:val="Tekst przypisu końcowego Znak"/>
    <w:basedOn w:val="Domylnaczcionkaakapitu"/>
    <w:rPr>
      <w:rFonts w:cs="F"/>
      <w:sz w:val="20"/>
      <w:szCs w:val="20"/>
    </w:rPr>
  </w:style>
  <w:style w:type="character" w:customStyle="1" w:styleId="EndnoteSymbol">
    <w:name w:val="Endnote Symbol"/>
    <w:basedOn w:val="Domylnaczcionkaakapitu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Footnoteanchor">
    <w:name w:val="Footnote anchor"/>
    <w:rPr>
      <w:rFonts w:cs="Times New Roman"/>
      <w:position w:val="0"/>
      <w:vertAlign w:val="superscript"/>
    </w:rPr>
  </w:style>
  <w:style w:type="character" w:customStyle="1" w:styleId="IGindeksgrny">
    <w:name w:val="_IG_ – indeks górny"/>
    <w:rPr>
      <w:rFonts w:cs="Times New Roman"/>
      <w:spacing w:val="0"/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Odwoanieprzypisudolnego2">
    <w:name w:val="Odwołanie przypisu dolnego2"/>
    <w:rPr>
      <w:position w:val="0"/>
      <w:vertAlign w:val="superscript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3Znak">
    <w:name w:val="Tekst podstawowy wcięty 3 Znak"/>
    <w:basedOn w:val="Domylnaczcionkaakapitu"/>
    <w:rPr>
      <w:sz w:val="16"/>
      <w:szCs w:val="16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Tekstpodstawowy2Znak">
    <w:name w:val="Tekst podstawowy 2 Znak"/>
    <w:basedOn w:val="Domylnaczcionkaakapitu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9">
    <w:name w:val="Znak9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Heading2Char">
    <w:name w:val="Heading 2 Char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BodyTextIndentChar">
    <w:name w:val="Body Text Indent Char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0">
    <w:name w:val="Znak Znak1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rPr>
      <w:sz w:val="24"/>
    </w:rPr>
  </w:style>
  <w:style w:type="character" w:customStyle="1" w:styleId="Tekstpodstawowywcity2Znak1">
    <w:name w:val="Tekst podstawowy wcięty 2 Znak1"/>
    <w:basedOn w:val="Domylnaczcionkaakapitu"/>
  </w:style>
  <w:style w:type="character" w:customStyle="1" w:styleId="TitleChar">
    <w:name w:val="Title Char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</w:style>
  <w:style w:type="character" w:customStyle="1" w:styleId="Style2">
    <w:name w:val="Style2"/>
    <w:basedOn w:val="Domylnaczcionkaakapitu"/>
    <w:rPr>
      <w:sz w:val="20"/>
    </w:rPr>
  </w:style>
  <w:style w:type="character" w:customStyle="1" w:styleId="TekstprzypisukocowegoZnak1">
    <w:name w:val="Tekst przypisu końcowego Znak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grame">
    <w:name w:val="grame"/>
    <w:basedOn w:val="Domylnaczcionkaakapitu"/>
  </w:style>
  <w:style w:type="character" w:customStyle="1" w:styleId="spelle">
    <w:name w:val="spelle"/>
    <w:basedOn w:val="Domylnaczcionkaakapitu"/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Numerstrony">
    <w:name w:val="page number"/>
    <w:basedOn w:val="Domylnaczcionkaakapitu"/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FontStyle52">
    <w:name w:val="Font Style52"/>
    <w:rPr>
      <w:rFonts w:ascii="Arial" w:eastAsia="Arial" w:hAnsi="Arial" w:cs="Arial"/>
      <w:sz w:val="20"/>
      <w:szCs w:val="20"/>
    </w:rPr>
  </w:style>
  <w:style w:type="character" w:customStyle="1" w:styleId="FontStyle127">
    <w:name w:val="Font Style127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</w:style>
  <w:style w:type="character" w:customStyle="1" w:styleId="BodyTextIndent2Char">
    <w:name w:val="Body Text Indent 2 Char"/>
    <w:basedOn w:val="Domylnaczcionkaakapitu"/>
    <w:rPr>
      <w:rFonts w:ascii="Times New Roman" w:eastAsia="Times New Roman" w:hAnsi="Times New Roman" w:cs="Times New Roman"/>
      <w:lang w:val="pl-PL" w:eastAsia="pl-PL"/>
    </w:rPr>
  </w:style>
  <w:style w:type="character" w:customStyle="1" w:styleId="DocumentMapChar">
    <w:name w:val="Document Map Char"/>
    <w:basedOn w:val="Domylnaczcionkaakapitu"/>
    <w:rPr>
      <w:rFonts w:ascii="Tahoma" w:eastAsia="Tahoma" w:hAnsi="Tahoma" w:cs="Tahoma"/>
      <w:sz w:val="16"/>
      <w:szCs w:val="16"/>
      <w:lang w:val="pl-PL" w:eastAsia="pl-PL"/>
    </w:rPr>
  </w:style>
  <w:style w:type="character" w:customStyle="1" w:styleId="MapadokumentuZnak">
    <w:name w:val="Mapa dokumentu Znak"/>
    <w:basedOn w:val="Domylnaczcionkaakapitu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rPr>
      <w:rFonts w:ascii="Tahoma" w:eastAsia="Tahoma" w:hAnsi="Tahoma" w:cs="Tahoma"/>
      <w:sz w:val="16"/>
      <w:szCs w:val="16"/>
      <w:lang w:eastAsia="pl-PL"/>
    </w:rPr>
  </w:style>
  <w:style w:type="character" w:customStyle="1" w:styleId="FontStyle18">
    <w:name w:val="Font Style18"/>
    <w:rPr>
      <w:rFonts w:ascii="Arial" w:eastAsia="Arial" w:hAnsi="Arial" w:cs="Arial"/>
      <w:color w:val="000000"/>
      <w:sz w:val="18"/>
    </w:rPr>
  </w:style>
  <w:style w:type="character" w:customStyle="1" w:styleId="FontStyle58">
    <w:name w:val="Font Style58"/>
    <w:rPr>
      <w:rFonts w:ascii="Times New Roman" w:eastAsia="Times New Roman" w:hAnsi="Times New Roman" w:cs="Times New Roman"/>
      <w:sz w:val="16"/>
    </w:rPr>
  </w:style>
  <w:style w:type="character" w:customStyle="1" w:styleId="FontStyle57">
    <w:name w:val="Font Style57"/>
    <w:rPr>
      <w:rFonts w:ascii="Times New Roman" w:eastAsia="Times New Roman" w:hAnsi="Times New Roman" w:cs="Times New Roman"/>
      <w:b/>
      <w:sz w:val="16"/>
    </w:rPr>
  </w:style>
  <w:style w:type="character" w:customStyle="1" w:styleId="A3">
    <w:name w:val="A3"/>
    <w:rPr>
      <w:rFonts w:ascii="Calibri, Calibri" w:eastAsia="Calibri, Calibri" w:hAnsi="Calibri, Calibri" w:cs="Calibri, Calibri"/>
      <w:color w:val="000000"/>
      <w:sz w:val="20"/>
    </w:rPr>
  </w:style>
  <w:style w:type="character" w:customStyle="1" w:styleId="FontStyle53">
    <w:name w:val="Font Style53"/>
    <w:basedOn w:val="Domylnaczcionkaakapitu"/>
    <w:rPr>
      <w:rFonts w:ascii="Times New Roman" w:eastAsia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Pr>
      <w:rFonts w:cs="Times New Roman"/>
    </w:rPr>
  </w:style>
  <w:style w:type="character" w:customStyle="1" w:styleId="tabulatory">
    <w:name w:val="tabulatory"/>
    <w:basedOn w:val="Domylnaczcionkaakapitu"/>
    <w:rPr>
      <w:rFonts w:cs="Times New Roman"/>
    </w:rPr>
  </w:style>
  <w:style w:type="character" w:customStyle="1" w:styleId="txt-new">
    <w:name w:val="txt-new"/>
    <w:basedOn w:val="Domylnaczcionkaakapitu"/>
    <w:rPr>
      <w:rFonts w:cs="Times New Roman"/>
    </w:rPr>
  </w:style>
  <w:style w:type="character" w:customStyle="1" w:styleId="style18">
    <w:name w:val="style18"/>
    <w:basedOn w:val="Domylnaczcionkaakapitu"/>
    <w:rPr>
      <w:rFonts w:cs="Times New Roman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entury Gothic"/>
      <w:kern w:val="3"/>
      <w:sz w:val="20"/>
      <w:szCs w:val="24"/>
    </w:rPr>
  </w:style>
  <w:style w:type="character" w:styleId="Numerwiersza">
    <w:name w:val="line number"/>
    <w:basedOn w:val="Domylnaczcionkaakapitu"/>
    <w:rPr>
      <w:rFonts w:cs="Times New Roman"/>
    </w:rPr>
  </w:style>
  <w:style w:type="character" w:styleId="Tekstzastpczy">
    <w:name w:val="Placeholder Text"/>
    <w:basedOn w:val="Domylnaczcionkaakapitu"/>
    <w:rPr>
      <w:rFonts w:cs="Times New Roman"/>
      <w:color w:val="808080"/>
    </w:rPr>
  </w:style>
  <w:style w:type="character" w:customStyle="1" w:styleId="FontStyle12">
    <w:name w:val="Font Style12"/>
    <w:basedOn w:val="Domylnaczcionkaakapitu"/>
  </w:style>
  <w:style w:type="character" w:customStyle="1" w:styleId="StopkaZnak1">
    <w:name w:val="Stopka Znak1"/>
    <w:basedOn w:val="Domylnaczcionkaakapitu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ListLabel1">
    <w:name w:val="ListLabel 1"/>
    <w:rPr>
      <w:rFonts w:ascii="Times New Roman" w:eastAsia="Noto Sans Symbols" w:hAnsi="Times New Roman" w:cs="Noto Sans Symbols"/>
      <w:sz w:val="20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ListLabel11">
    <w:name w:val="ListLabel 11"/>
    <w:rPr>
      <w:rFonts w:ascii="Times New Roman" w:eastAsia="Noto Sans Symbols" w:hAnsi="Times New Roman" w:cs="Noto Sans Symbols"/>
      <w:sz w:val="20"/>
    </w:rPr>
  </w:style>
  <w:style w:type="character" w:customStyle="1" w:styleId="ListLabel12">
    <w:name w:val="ListLabel 12"/>
    <w:rPr>
      <w:rFonts w:eastAsia="Courier New" w:cs="Courier New"/>
    </w:rPr>
  </w:style>
  <w:style w:type="character" w:customStyle="1" w:styleId="ListLabel13">
    <w:name w:val="ListLabel 13"/>
    <w:rPr>
      <w:rFonts w:eastAsia="Noto Sans Symbols" w:cs="Noto Sans Symbols"/>
    </w:rPr>
  </w:style>
  <w:style w:type="character" w:customStyle="1" w:styleId="ListLabel14">
    <w:name w:val="ListLabel 14"/>
    <w:rPr>
      <w:rFonts w:eastAsia="Noto Sans Symbols" w:cs="Noto Sans Symbols"/>
    </w:rPr>
  </w:style>
  <w:style w:type="character" w:customStyle="1" w:styleId="ListLabel15">
    <w:name w:val="ListLabel 15"/>
    <w:rPr>
      <w:rFonts w:eastAsia="Courier New" w:cs="Courier New"/>
    </w:rPr>
  </w:style>
  <w:style w:type="character" w:customStyle="1" w:styleId="ListLabel16">
    <w:name w:val="ListLabel 16"/>
    <w:rPr>
      <w:rFonts w:eastAsia="Noto Sans Symbols" w:cs="Noto Sans Symbols"/>
    </w:rPr>
  </w:style>
  <w:style w:type="character" w:customStyle="1" w:styleId="ListLabel17">
    <w:name w:val="ListLabel 17"/>
    <w:rPr>
      <w:rFonts w:eastAsia="Noto Sans Symbols" w:cs="Noto Sans Symbols"/>
    </w:rPr>
  </w:style>
  <w:style w:type="character" w:customStyle="1" w:styleId="ListLabel18">
    <w:name w:val="ListLabel 18"/>
    <w:rPr>
      <w:rFonts w:eastAsia="Courier New" w:cs="Courier New"/>
    </w:rPr>
  </w:style>
  <w:style w:type="character" w:customStyle="1" w:styleId="ListLabel19">
    <w:name w:val="ListLabel 19"/>
    <w:rPr>
      <w:rFonts w:eastAsia="Noto Sans Symbols" w:cs="Noto Sans Symbols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ListLabel21">
    <w:name w:val="ListLabel 21"/>
    <w:rPr>
      <w:rFonts w:ascii="Times New Roman" w:eastAsia="Noto Sans Symbols" w:hAnsi="Times New Roman" w:cs="Noto Sans Symbols"/>
      <w:sz w:val="20"/>
    </w:rPr>
  </w:style>
  <w:style w:type="character" w:customStyle="1" w:styleId="ListLabel22">
    <w:name w:val="ListLabel 22"/>
    <w:rPr>
      <w:rFonts w:eastAsia="Courier New" w:cs="Courier New"/>
    </w:rPr>
  </w:style>
  <w:style w:type="character" w:customStyle="1" w:styleId="ListLabel23">
    <w:name w:val="ListLabel 23"/>
    <w:rPr>
      <w:rFonts w:eastAsia="Noto Sans Symbols" w:cs="Noto Sans Symbols"/>
    </w:rPr>
  </w:style>
  <w:style w:type="character" w:customStyle="1" w:styleId="ListLabel24">
    <w:name w:val="ListLabel 24"/>
    <w:rPr>
      <w:rFonts w:eastAsia="Noto Sans Symbols" w:cs="Noto Sans Symbols"/>
    </w:rPr>
  </w:style>
  <w:style w:type="character" w:customStyle="1" w:styleId="ListLabel25">
    <w:name w:val="ListLabel 25"/>
    <w:rPr>
      <w:rFonts w:eastAsia="Courier New" w:cs="Courier New"/>
    </w:rPr>
  </w:style>
  <w:style w:type="character" w:customStyle="1" w:styleId="ListLabel26">
    <w:name w:val="ListLabel 26"/>
    <w:rPr>
      <w:rFonts w:eastAsia="Noto Sans Symbols" w:cs="Noto Sans Symbols"/>
    </w:rPr>
  </w:style>
  <w:style w:type="character" w:customStyle="1" w:styleId="ListLabel27">
    <w:name w:val="ListLabel 27"/>
    <w:rPr>
      <w:rFonts w:eastAsia="Noto Sans Symbols" w:cs="Noto Sans Symbols"/>
    </w:rPr>
  </w:style>
  <w:style w:type="character" w:customStyle="1" w:styleId="ListLabel28">
    <w:name w:val="ListLabel 28"/>
    <w:rPr>
      <w:rFonts w:eastAsia="Courier New" w:cs="Courier New"/>
    </w:rPr>
  </w:style>
  <w:style w:type="character" w:customStyle="1" w:styleId="ListLabel29">
    <w:name w:val="ListLabel 29"/>
    <w:rPr>
      <w:rFonts w:eastAsia="Noto Sans Symbols" w:cs="Noto Sans Symbols"/>
    </w:rPr>
  </w:style>
  <w:style w:type="character" w:customStyle="1" w:styleId="ListLabel30">
    <w:name w:val="ListLabel 30"/>
    <w:rPr>
      <w:rFonts w:ascii="Century Gothic" w:eastAsia="Noto Sans Symbols" w:hAnsi="Century Gothic" w:cs="Noto Sans Symbols"/>
      <w:sz w:val="20"/>
    </w:rPr>
  </w:style>
  <w:style w:type="character" w:customStyle="1" w:styleId="ListLabel31">
    <w:name w:val="ListLabel 31"/>
    <w:rPr>
      <w:rFonts w:eastAsia="Noto Sans Symbols" w:cs="Noto Sans Symbols"/>
    </w:rPr>
  </w:style>
  <w:style w:type="character" w:customStyle="1" w:styleId="ListLabel32">
    <w:name w:val="ListLabel 32"/>
    <w:rPr>
      <w:rFonts w:eastAsia="Noto Sans Symbols" w:cs="Noto Sans Symbols"/>
    </w:rPr>
  </w:style>
  <w:style w:type="character" w:customStyle="1" w:styleId="ListLabel33">
    <w:name w:val="ListLabel 33"/>
    <w:rPr>
      <w:rFonts w:eastAsia="Noto Sans Symbols" w:cs="Noto Sans Symbols"/>
    </w:rPr>
  </w:style>
  <w:style w:type="character" w:customStyle="1" w:styleId="ListLabel34">
    <w:name w:val="ListLabel 34"/>
    <w:rPr>
      <w:rFonts w:eastAsia="Noto Sans Symbols" w:cs="Noto Sans Symbols"/>
    </w:rPr>
  </w:style>
  <w:style w:type="character" w:customStyle="1" w:styleId="ListLabel35">
    <w:name w:val="ListLabel 35"/>
    <w:rPr>
      <w:rFonts w:eastAsia="Noto Sans Symbols" w:cs="Noto Sans Symbols"/>
    </w:rPr>
  </w:style>
  <w:style w:type="character" w:customStyle="1" w:styleId="ListLabel36">
    <w:name w:val="ListLabel 36"/>
    <w:rPr>
      <w:rFonts w:eastAsia="Noto Sans Symbols" w:cs="Noto Sans Symbols"/>
    </w:rPr>
  </w:style>
  <w:style w:type="character" w:customStyle="1" w:styleId="ListLabel37">
    <w:name w:val="ListLabel 37"/>
    <w:rPr>
      <w:rFonts w:eastAsia="Noto Sans Symbols" w:cs="Noto Sans Symbols"/>
    </w:rPr>
  </w:style>
  <w:style w:type="character" w:customStyle="1" w:styleId="ListLabel38">
    <w:name w:val="ListLabel 38"/>
    <w:rPr>
      <w:rFonts w:eastAsia="Noto Sans Symbols" w:cs="Noto Sans Symbols"/>
    </w:rPr>
  </w:style>
  <w:style w:type="character" w:customStyle="1" w:styleId="ListLabel39">
    <w:name w:val="ListLabel 39"/>
    <w:rPr>
      <w:rFonts w:ascii="Times New Roman" w:eastAsia="Noto Sans Symbols" w:hAnsi="Times New Roman" w:cs="Noto Sans Symbols"/>
      <w:sz w:val="20"/>
    </w:rPr>
  </w:style>
  <w:style w:type="character" w:customStyle="1" w:styleId="ListLabel40">
    <w:name w:val="ListLabel 40"/>
    <w:rPr>
      <w:rFonts w:eastAsia="Courier New" w:cs="Courier New"/>
    </w:rPr>
  </w:style>
  <w:style w:type="character" w:customStyle="1" w:styleId="ListLabel41">
    <w:name w:val="ListLabel 41"/>
    <w:rPr>
      <w:rFonts w:eastAsia="Noto Sans Symbols" w:cs="Noto Sans Symbols"/>
    </w:rPr>
  </w:style>
  <w:style w:type="character" w:customStyle="1" w:styleId="ListLabel42">
    <w:name w:val="ListLabel 42"/>
    <w:rPr>
      <w:rFonts w:eastAsia="Noto Sans Symbols" w:cs="Noto Sans Symbols"/>
    </w:rPr>
  </w:style>
  <w:style w:type="character" w:customStyle="1" w:styleId="ListLabel43">
    <w:name w:val="ListLabel 43"/>
    <w:rPr>
      <w:rFonts w:eastAsia="Courier New" w:cs="Courier New"/>
    </w:rPr>
  </w:style>
  <w:style w:type="character" w:customStyle="1" w:styleId="ListLabel44">
    <w:name w:val="ListLabel 44"/>
    <w:rPr>
      <w:rFonts w:eastAsia="Noto Sans Symbols" w:cs="Noto Sans Symbols"/>
    </w:rPr>
  </w:style>
  <w:style w:type="character" w:customStyle="1" w:styleId="ListLabel45">
    <w:name w:val="ListLabel 45"/>
    <w:rPr>
      <w:rFonts w:eastAsia="Noto Sans Symbols" w:cs="Noto Sans Symbols"/>
    </w:rPr>
  </w:style>
  <w:style w:type="character" w:customStyle="1" w:styleId="ListLabel46">
    <w:name w:val="ListLabel 46"/>
    <w:rPr>
      <w:rFonts w:eastAsia="Courier New" w:cs="Courier New"/>
    </w:rPr>
  </w:style>
  <w:style w:type="character" w:customStyle="1" w:styleId="ListLabel47">
    <w:name w:val="ListLabel 47"/>
    <w:rPr>
      <w:rFonts w:eastAsia="Noto Sans Symbols" w:cs="Noto Sans Symbols"/>
    </w:rPr>
  </w:style>
  <w:style w:type="character" w:customStyle="1" w:styleId="ListLabel48">
    <w:name w:val="ListLabel 48"/>
    <w:rPr>
      <w:rFonts w:ascii="Times New Roman" w:eastAsia="Noto Sans Symbols" w:hAnsi="Times New Roman" w:cs="Noto Sans Symbols"/>
      <w:sz w:val="20"/>
    </w:rPr>
  </w:style>
  <w:style w:type="character" w:customStyle="1" w:styleId="ListLabel49">
    <w:name w:val="ListLabel 49"/>
    <w:rPr>
      <w:rFonts w:eastAsia="Courier New" w:cs="Courier New"/>
    </w:rPr>
  </w:style>
  <w:style w:type="character" w:customStyle="1" w:styleId="ListLabel50">
    <w:name w:val="ListLabel 50"/>
    <w:rPr>
      <w:rFonts w:eastAsia="Noto Sans Symbols" w:cs="Noto Sans Symbols"/>
    </w:rPr>
  </w:style>
  <w:style w:type="character" w:customStyle="1" w:styleId="ListLabel51">
    <w:name w:val="ListLabel 51"/>
    <w:rPr>
      <w:rFonts w:eastAsia="Noto Sans Symbols" w:cs="Noto Sans Symbols"/>
    </w:rPr>
  </w:style>
  <w:style w:type="character" w:customStyle="1" w:styleId="ListLabel52">
    <w:name w:val="ListLabel 52"/>
    <w:rPr>
      <w:rFonts w:eastAsia="Courier New" w:cs="Courier New"/>
    </w:rPr>
  </w:style>
  <w:style w:type="character" w:customStyle="1" w:styleId="ListLabel53">
    <w:name w:val="ListLabel 53"/>
    <w:rPr>
      <w:rFonts w:eastAsia="Noto Sans Symbols" w:cs="Noto Sans Symbols"/>
    </w:rPr>
  </w:style>
  <w:style w:type="character" w:customStyle="1" w:styleId="ListLabel54">
    <w:name w:val="ListLabel 54"/>
    <w:rPr>
      <w:rFonts w:eastAsia="Noto Sans Symbols" w:cs="Noto Sans Symbols"/>
    </w:rPr>
  </w:style>
  <w:style w:type="character" w:customStyle="1" w:styleId="ListLabel55">
    <w:name w:val="ListLabel 55"/>
    <w:rPr>
      <w:rFonts w:eastAsia="Courier New" w:cs="Courier New"/>
    </w:rPr>
  </w:style>
  <w:style w:type="character" w:customStyle="1" w:styleId="ListLabel56">
    <w:name w:val="ListLabel 56"/>
    <w:rPr>
      <w:rFonts w:eastAsia="Noto Sans Symbols" w:cs="Noto Sans Symbols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ListLabel58">
    <w:name w:val="ListLabel 58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0"/>
      <w:szCs w:val="20"/>
    </w:rPr>
  </w:style>
  <w:style w:type="numbering" w:customStyle="1" w:styleId="Bezlisty10">
    <w:name w:val="Bez listy1"/>
    <w:basedOn w:val="Bezlisty"/>
    <w:pPr>
      <w:numPr>
        <w:numId w:val="1"/>
      </w:numPr>
    </w:pPr>
  </w:style>
  <w:style w:type="numbering" w:customStyle="1" w:styleId="Bezlisty1">
    <w:name w:val="Bez listy1"/>
    <w:basedOn w:val="Bezlisty"/>
    <w:pPr>
      <w:numPr>
        <w:numId w:val="2"/>
      </w:numPr>
    </w:pPr>
  </w:style>
  <w:style w:type="numbering" w:customStyle="1" w:styleId="Styl1">
    <w:name w:val="Styl1"/>
    <w:basedOn w:val="Bezlisty"/>
    <w:pPr>
      <w:numPr>
        <w:numId w:val="3"/>
      </w:numPr>
    </w:pPr>
  </w:style>
  <w:style w:type="numbering" w:customStyle="1" w:styleId="WWNum1">
    <w:name w:val="WWNum1"/>
    <w:basedOn w:val="Bezlisty"/>
    <w:pPr>
      <w:numPr>
        <w:numId w:val="4"/>
      </w:numPr>
    </w:pPr>
  </w:style>
  <w:style w:type="numbering" w:customStyle="1" w:styleId="WWNum2">
    <w:name w:val="WWNum2"/>
    <w:basedOn w:val="Bezlisty"/>
    <w:pPr>
      <w:numPr>
        <w:numId w:val="5"/>
      </w:numPr>
    </w:pPr>
  </w:style>
  <w:style w:type="numbering" w:customStyle="1" w:styleId="WWNum3">
    <w:name w:val="WWNum3"/>
    <w:basedOn w:val="Bezlisty"/>
    <w:pPr>
      <w:numPr>
        <w:numId w:val="6"/>
      </w:numPr>
    </w:pPr>
  </w:style>
  <w:style w:type="numbering" w:customStyle="1" w:styleId="WWNum4">
    <w:name w:val="WWNum4"/>
    <w:basedOn w:val="Bezlisty"/>
    <w:pPr>
      <w:numPr>
        <w:numId w:val="7"/>
      </w:numPr>
    </w:pPr>
  </w:style>
  <w:style w:type="numbering" w:customStyle="1" w:styleId="WWNum5">
    <w:name w:val="WWNum5"/>
    <w:basedOn w:val="Bezlisty"/>
    <w:pPr>
      <w:numPr>
        <w:numId w:val="8"/>
      </w:numPr>
    </w:pPr>
  </w:style>
  <w:style w:type="numbering" w:customStyle="1" w:styleId="WWNum6">
    <w:name w:val="WWNum6"/>
    <w:basedOn w:val="Bezlisty"/>
    <w:pPr>
      <w:numPr>
        <w:numId w:val="9"/>
      </w:numPr>
    </w:pPr>
  </w:style>
  <w:style w:type="numbering" w:customStyle="1" w:styleId="WWNum7">
    <w:name w:val="WWNum7"/>
    <w:basedOn w:val="Bezlisty"/>
    <w:pPr>
      <w:numPr>
        <w:numId w:val="10"/>
      </w:numPr>
    </w:pPr>
  </w:style>
  <w:style w:type="numbering" w:customStyle="1" w:styleId="WWNum8">
    <w:name w:val="WWNum8"/>
    <w:basedOn w:val="Bezlisty"/>
    <w:pPr>
      <w:numPr>
        <w:numId w:val="11"/>
      </w:numPr>
    </w:pPr>
  </w:style>
  <w:style w:type="numbering" w:customStyle="1" w:styleId="WWNum9">
    <w:name w:val="WWNum9"/>
    <w:basedOn w:val="Bezlisty"/>
    <w:pPr>
      <w:numPr>
        <w:numId w:val="12"/>
      </w:numPr>
    </w:pPr>
  </w:style>
  <w:style w:type="numbering" w:customStyle="1" w:styleId="WWNum10">
    <w:name w:val="WWNum10"/>
    <w:basedOn w:val="Bezlisty"/>
    <w:pPr>
      <w:numPr>
        <w:numId w:val="13"/>
      </w:numPr>
    </w:pPr>
  </w:style>
  <w:style w:type="numbering" w:customStyle="1" w:styleId="WWNum11">
    <w:name w:val="WWNum11"/>
    <w:basedOn w:val="Bezlisty"/>
    <w:pPr>
      <w:numPr>
        <w:numId w:val="14"/>
      </w:numPr>
    </w:pPr>
  </w:style>
  <w:style w:type="numbering" w:customStyle="1" w:styleId="WWNum12">
    <w:name w:val="WWNum12"/>
    <w:basedOn w:val="Bezlisty"/>
    <w:pPr>
      <w:numPr>
        <w:numId w:val="15"/>
      </w:numPr>
    </w:pPr>
  </w:style>
  <w:style w:type="numbering" w:customStyle="1" w:styleId="WWNum13">
    <w:name w:val="WWNum13"/>
    <w:basedOn w:val="Bezlisty"/>
    <w:pPr>
      <w:numPr>
        <w:numId w:val="16"/>
      </w:numPr>
    </w:pPr>
  </w:style>
  <w:style w:type="numbering" w:customStyle="1" w:styleId="WWNum14">
    <w:name w:val="WWNum14"/>
    <w:basedOn w:val="Bezlisty"/>
    <w:pPr>
      <w:numPr>
        <w:numId w:val="17"/>
      </w:numPr>
    </w:pPr>
  </w:style>
  <w:style w:type="numbering" w:customStyle="1" w:styleId="WWNum15">
    <w:name w:val="WWNum15"/>
    <w:basedOn w:val="Bezlisty"/>
    <w:pPr>
      <w:numPr>
        <w:numId w:val="18"/>
      </w:numPr>
    </w:pPr>
  </w:style>
  <w:style w:type="numbering" w:customStyle="1" w:styleId="WWNum16">
    <w:name w:val="WWNum16"/>
    <w:basedOn w:val="Bezlisty"/>
    <w:pPr>
      <w:numPr>
        <w:numId w:val="19"/>
      </w:numPr>
    </w:pPr>
  </w:style>
  <w:style w:type="numbering" w:customStyle="1" w:styleId="WWNum17">
    <w:name w:val="WWNum17"/>
    <w:basedOn w:val="Bezlisty"/>
    <w:pPr>
      <w:numPr>
        <w:numId w:val="20"/>
      </w:numPr>
    </w:pPr>
  </w:style>
  <w:style w:type="numbering" w:customStyle="1" w:styleId="WWNum18">
    <w:name w:val="WWNum18"/>
    <w:basedOn w:val="Bezlisty"/>
    <w:pPr>
      <w:numPr>
        <w:numId w:val="21"/>
      </w:numPr>
    </w:pPr>
  </w:style>
  <w:style w:type="numbering" w:customStyle="1" w:styleId="WWNum19">
    <w:name w:val="WWNum19"/>
    <w:basedOn w:val="Bezlisty"/>
    <w:pPr>
      <w:numPr>
        <w:numId w:val="22"/>
      </w:numPr>
    </w:pPr>
  </w:style>
  <w:style w:type="numbering" w:customStyle="1" w:styleId="WWNum20">
    <w:name w:val="WWNum20"/>
    <w:basedOn w:val="Bezlisty"/>
    <w:pPr>
      <w:numPr>
        <w:numId w:val="23"/>
      </w:numPr>
    </w:pPr>
  </w:style>
  <w:style w:type="numbering" w:customStyle="1" w:styleId="WWNum21">
    <w:name w:val="WWNum21"/>
    <w:basedOn w:val="Bezlisty"/>
    <w:pPr>
      <w:numPr>
        <w:numId w:val="24"/>
      </w:numPr>
    </w:pPr>
  </w:style>
  <w:style w:type="numbering" w:customStyle="1" w:styleId="WWNum22">
    <w:name w:val="WWNum22"/>
    <w:basedOn w:val="Bezlisty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3374</Words>
  <Characters>20249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 Gacka</dc:creator>
  <cp:lastModifiedBy>Romuald Gacka</cp:lastModifiedBy>
  <cp:revision>6</cp:revision>
  <dcterms:created xsi:type="dcterms:W3CDTF">2026-02-09T16:46:00Z</dcterms:created>
  <dcterms:modified xsi:type="dcterms:W3CDTF">2026-02-26T19:07:00Z</dcterms:modified>
</cp:coreProperties>
</file>